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both"/>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pStyle w:val="2"/>
      </w:pPr>
    </w:p>
    <w:p>
      <w:pPr>
        <w:jc w:val="both"/>
        <w:rPr>
          <w:rFonts w:ascii="黑体" w:eastAsia="黑体"/>
          <w:sz w:val="52"/>
          <w:szCs w:val="52"/>
        </w:rPr>
      </w:pPr>
    </w:p>
    <w:p>
      <w:pPr>
        <w:pStyle w:val="5"/>
        <w:rPr>
          <w:rFonts w:ascii="黑体" w:eastAsia="黑体"/>
          <w:sz w:val="52"/>
          <w:szCs w:val="52"/>
        </w:rPr>
      </w:pPr>
    </w:p>
    <w:p>
      <w:pPr>
        <w:pStyle w:val="2"/>
      </w:pPr>
      <w:bookmarkStart w:id="7" w:name="_GoBack"/>
      <w:bookmarkEnd w:id="7"/>
    </w:p>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ascii="宋体" w:hAnsi="宋体" w:cs="宋体"/>
          <w:b/>
          <w:bCs/>
          <w:kern w:val="0"/>
          <w:sz w:val="36"/>
          <w:szCs w:val="36"/>
        </w:rPr>
      </w:pP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第一部分 </w:t>
      </w:r>
      <w:r>
        <w:rPr>
          <w:rFonts w:hint="eastAsia" w:ascii="宋体" w:hAnsi="宋体" w:cs="宋体"/>
          <w:bCs/>
          <w:spacing w:val="40"/>
          <w:kern w:val="0"/>
          <w:sz w:val="32"/>
          <w:szCs w:val="32"/>
          <w:lang w:eastAsia="zh-CN"/>
        </w:rPr>
        <w:t>2024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五</w:t>
      </w:r>
      <w:r>
        <w:rPr>
          <w:rFonts w:hint="eastAsia" w:ascii="仿宋_GB2312" w:hAnsi="仿宋" w:eastAsia="仿宋_GB2312" w:cs="宋体"/>
          <w:bCs/>
          <w:spacing w:val="40"/>
          <w:kern w:val="0"/>
          <w:sz w:val="32"/>
          <w:szCs w:val="32"/>
        </w:rPr>
        <w:t>、一般公共预算财政拨款支出决算表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六</w:t>
      </w:r>
      <w:r>
        <w:rPr>
          <w:rFonts w:hint="eastAsia" w:ascii="仿宋_GB2312" w:hAnsi="仿宋" w:eastAsia="仿宋_GB2312" w:cs="宋体"/>
          <w:bCs/>
          <w:spacing w:val="40"/>
          <w:kern w:val="0"/>
          <w:sz w:val="32"/>
          <w:szCs w:val="32"/>
        </w:rPr>
        <w:t>、一般公共预算财政拨款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一</w:t>
      </w:r>
      <w:r>
        <w:rPr>
          <w:rFonts w:hint="eastAsia" w:ascii="仿宋_GB2312" w:hAnsi="仿宋" w:eastAsia="仿宋_GB2312" w:cs="宋体"/>
          <w:bCs/>
          <w:spacing w:val="40"/>
          <w:kern w:val="0"/>
          <w:sz w:val="32"/>
          <w:szCs w:val="32"/>
        </w:rPr>
        <w:t>、政府采购情况表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lang w:eastAsia="zh-CN"/>
        </w:rPr>
        <w:t>2024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lang w:eastAsia="zh-CN"/>
        </w:rPr>
        <w:t>2024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 xml:space="preserve">第四部分 </w:t>
      </w:r>
      <w:r>
        <w:rPr>
          <w:rFonts w:hint="eastAsia" w:ascii="宋体" w:hAnsi="宋体" w:cs="宋体"/>
          <w:spacing w:val="40"/>
          <w:kern w:val="0"/>
          <w:sz w:val="32"/>
          <w:szCs w:val="32"/>
          <w:lang w:eastAsia="zh-CN"/>
        </w:rPr>
        <w:t>2024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 xml:space="preserve">第一部分 </w:t>
      </w:r>
      <w:r>
        <w:rPr>
          <w:rFonts w:hint="eastAsia" w:ascii="宋体" w:hAnsi="宋体" w:cs="宋体"/>
          <w:b/>
          <w:bCs/>
          <w:spacing w:val="40"/>
          <w:kern w:val="0"/>
          <w:sz w:val="32"/>
          <w:szCs w:val="32"/>
          <w:lang w:eastAsia="zh-CN"/>
        </w:rPr>
        <w:t>2024</w:t>
      </w:r>
      <w:r>
        <w:rPr>
          <w:rFonts w:hint="eastAsia" w:ascii="宋体" w:hAnsi="宋体" w:cs="宋体"/>
          <w:b/>
          <w:bCs/>
          <w:spacing w:val="40"/>
          <w:kern w:val="0"/>
          <w:sz w:val="32"/>
          <w:szCs w:val="32"/>
        </w:rPr>
        <w:t>年度部门决算报表</w:t>
      </w:r>
    </w:p>
    <w:p>
      <w:pPr>
        <w:pStyle w:val="2"/>
        <w:rPr>
          <w:rFonts w:hint="eastAsia" w:ascii="仿宋_GB2312" w:eastAsia="仿宋_GB2312"/>
          <w:b w:val="0"/>
          <w:bCs w:val="0"/>
          <w:sz w:val="28"/>
          <w:szCs w:val="28"/>
        </w:r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hint="eastAsia" w:ascii="宋体" w:hAnsi="宋体" w:eastAsia="宋体" w:cs="宋体"/>
          <w:b/>
          <w:bCs/>
          <w:spacing w:val="40"/>
          <w:kern w:val="0"/>
          <w:sz w:val="32"/>
          <w:szCs w:val="32"/>
          <w:lang w:val="en-US" w:eastAsia="zh-CN"/>
        </w:rPr>
      </w:pPr>
      <w:r>
        <w:rPr>
          <w:rFonts w:hint="eastAsia" w:ascii="宋体" w:hAnsi="宋体" w:eastAsia="宋体" w:cs="宋体"/>
          <w:b/>
          <w:bCs/>
          <w:spacing w:val="40"/>
          <w:kern w:val="0"/>
          <w:sz w:val="32"/>
          <w:szCs w:val="32"/>
          <w:lang w:val="en-US" w:eastAsia="zh-CN"/>
        </w:rPr>
        <w:t>第二部分 2024年度部门决算说明</w:t>
      </w:r>
    </w:p>
    <w:p>
      <w:pPr>
        <w:tabs>
          <w:tab w:val="center" w:pos="6979"/>
        </w:tabs>
        <w:spacing w:line="580" w:lineRule="exact"/>
        <w:ind w:firstLine="560" w:firstLineChars="200"/>
        <w:rPr>
          <w:rFonts w:hint="eastAsia" w:ascii="黑体" w:eastAsia="黑体"/>
          <w:b/>
          <w:sz w:val="28"/>
          <w:szCs w:val="28"/>
          <w:highlight w:val="none"/>
        </w:rPr>
      </w:pPr>
      <w:r>
        <w:rPr>
          <w:rFonts w:hint="eastAsia" w:ascii="黑体" w:eastAsia="黑体"/>
          <w:b/>
          <w:sz w:val="28"/>
          <w:szCs w:val="28"/>
          <w:highlight w:val="none"/>
        </w:rPr>
        <w:t>一、单位基本情况</w:t>
      </w:r>
    </w:p>
    <w:p>
      <w:pPr>
        <w:tabs>
          <w:tab w:val="center" w:pos="6979"/>
        </w:tabs>
        <w:spacing w:line="580" w:lineRule="exact"/>
        <w:ind w:firstLine="420" w:firstLineChars="150"/>
        <w:rPr>
          <w:rFonts w:hint="eastAsia" w:ascii="华文楷体" w:hAnsi="华文楷体" w:eastAsia="华文楷体" w:cs="华文楷体"/>
          <w:b w:val="0"/>
          <w:bCs/>
          <w:sz w:val="28"/>
          <w:szCs w:val="28"/>
        </w:rPr>
      </w:pPr>
      <w:r>
        <w:rPr>
          <w:rFonts w:hint="eastAsia" w:ascii="华文楷体" w:hAnsi="华文楷体" w:eastAsia="华文楷体" w:cs="华文楷体"/>
          <w:b w:val="0"/>
          <w:bCs/>
          <w:sz w:val="28"/>
          <w:szCs w:val="28"/>
        </w:rPr>
        <w:t>（一）机构职责</w:t>
      </w:r>
    </w:p>
    <w:p>
      <w:pPr>
        <w:spacing w:line="560" w:lineRule="exact"/>
        <w:ind w:firstLine="560" w:firstLineChars="200"/>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承担全区落实促进男女平等基本国策、维护妇女儿童权益保障及打造区级综合型社会服务阵地和平台等方面的行政辅助工作。为全区家庭文化建设，妇女儿童综合维权、帮扶救助、推进巾帼志愿服务及妇女创业就业等方面提供公益服务。</w:t>
      </w:r>
    </w:p>
    <w:p>
      <w:pPr>
        <w:tabs>
          <w:tab w:val="center" w:pos="6979"/>
        </w:tabs>
        <w:spacing w:line="580" w:lineRule="exact"/>
        <w:ind w:firstLine="420" w:firstLineChars="150"/>
        <w:rPr>
          <w:rFonts w:hint="eastAsia" w:ascii="华文楷体" w:hAnsi="华文楷体" w:eastAsia="华文楷体" w:cs="华文楷体"/>
          <w:b w:val="0"/>
          <w:bCs/>
          <w:sz w:val="28"/>
          <w:szCs w:val="28"/>
        </w:rPr>
      </w:pPr>
      <w:r>
        <w:rPr>
          <w:rFonts w:hint="eastAsia" w:ascii="华文楷体" w:hAnsi="华文楷体" w:eastAsia="华文楷体" w:cs="华文楷体"/>
          <w:b w:val="0"/>
          <w:bCs/>
          <w:sz w:val="28"/>
          <w:szCs w:val="28"/>
        </w:rPr>
        <w:t>（二）机构设置</w:t>
      </w:r>
    </w:p>
    <w:p>
      <w:pPr>
        <w:spacing w:line="560" w:lineRule="exact"/>
        <w:ind w:firstLine="560" w:firstLineChars="200"/>
        <w:rPr>
          <w:rFonts w:hint="eastAsia" w:ascii="仿宋_GB2312" w:hAnsi="仿宋_GB2312" w:eastAsia="仿宋_GB2312" w:cs="仿宋_GB2312"/>
          <w:b w:val="0"/>
          <w:bCs/>
          <w:color w:val="000000"/>
          <w:sz w:val="28"/>
          <w:szCs w:val="28"/>
          <w:highlight w:val="none"/>
        </w:rPr>
      </w:pPr>
      <w:r>
        <w:rPr>
          <w:rFonts w:hint="eastAsia" w:ascii="仿宋_GB2312" w:hAnsi="仿宋_GB2312" w:eastAsia="仿宋_GB2312" w:cs="仿宋_GB2312"/>
          <w:b w:val="0"/>
          <w:bCs/>
          <w:color w:val="000000"/>
          <w:sz w:val="28"/>
          <w:szCs w:val="28"/>
          <w:highlight w:val="none"/>
          <w:lang w:eastAsia="zh-CN"/>
        </w:rPr>
        <w:t>北京市</w:t>
      </w:r>
      <w:r>
        <w:rPr>
          <w:rFonts w:hint="eastAsia" w:ascii="仿宋_GB2312" w:hAnsi="仿宋_GB2312" w:eastAsia="仿宋_GB2312" w:cs="仿宋_GB2312"/>
          <w:b w:val="0"/>
          <w:bCs/>
          <w:color w:val="000000"/>
          <w:sz w:val="28"/>
          <w:szCs w:val="28"/>
          <w:highlight w:val="none"/>
        </w:rPr>
        <w:t>西城区妇女儿童发展中心为</w:t>
      </w:r>
      <w:r>
        <w:rPr>
          <w:rFonts w:hint="eastAsia" w:ascii="仿宋_GB2312" w:hAnsi="仿宋_GB2312" w:eastAsia="仿宋_GB2312" w:cs="仿宋_GB2312"/>
          <w:b w:val="0"/>
          <w:bCs/>
          <w:color w:val="000000"/>
          <w:sz w:val="28"/>
          <w:szCs w:val="28"/>
          <w:highlight w:val="none"/>
          <w:lang w:eastAsia="zh-CN"/>
        </w:rPr>
        <w:t>北京市西城区妇女联合会</w:t>
      </w:r>
      <w:r>
        <w:rPr>
          <w:rFonts w:hint="eastAsia" w:ascii="仿宋_GB2312" w:hAnsi="仿宋_GB2312" w:eastAsia="仿宋_GB2312" w:cs="仿宋_GB2312"/>
          <w:b w:val="0"/>
          <w:bCs/>
          <w:color w:val="000000"/>
          <w:sz w:val="28"/>
          <w:szCs w:val="28"/>
          <w:highlight w:val="none"/>
        </w:rPr>
        <w:t>下属二级单位，实行独立核算。</w:t>
      </w:r>
    </w:p>
    <w:p>
      <w:pPr>
        <w:tabs>
          <w:tab w:val="center" w:pos="6979"/>
        </w:tabs>
        <w:spacing w:line="580" w:lineRule="exact"/>
        <w:rPr>
          <w:rFonts w:ascii="黑体" w:eastAsia="黑体"/>
          <w:b/>
          <w:sz w:val="28"/>
          <w:szCs w:val="28"/>
        </w:rPr>
      </w:pPr>
      <w:r>
        <w:rPr>
          <w:rFonts w:hint="eastAsia" w:ascii="仿宋_GB2312" w:eastAsia="仿宋_GB2312"/>
          <w:b/>
          <w:sz w:val="28"/>
          <w:szCs w:val="28"/>
        </w:rPr>
        <w:t xml:space="preserve">   </w:t>
      </w:r>
      <w:r>
        <w:rPr>
          <w:rFonts w:hint="eastAsia" w:ascii="黑体" w:eastAsia="黑体"/>
          <w:b/>
          <w:sz w:val="28"/>
          <w:szCs w:val="28"/>
          <w:highlight w:val="none"/>
        </w:rPr>
        <w:t>二、收入支出决算总体情况说明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仿宋_GB2312" w:eastAsia="仿宋_GB2312"/>
          <w:sz w:val="28"/>
          <w:szCs w:val="28"/>
          <w:highlight w:val="none"/>
          <w:shd w:val="clear" w:color="FFFFFF" w:fill="D9D9D9"/>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年度收、</w:t>
      </w:r>
      <w:r>
        <w:rPr>
          <w:rFonts w:ascii="仿宋_GB2312" w:eastAsia="仿宋_GB2312"/>
          <w:sz w:val="28"/>
          <w:szCs w:val="28"/>
          <w:highlight w:val="none"/>
        </w:rPr>
        <w:t>支</w:t>
      </w:r>
      <w:r>
        <w:rPr>
          <w:rFonts w:hint="eastAsia" w:ascii="仿宋_GB2312" w:eastAsia="仿宋_GB2312"/>
          <w:sz w:val="28"/>
          <w:szCs w:val="28"/>
          <w:highlight w:val="none"/>
          <w:lang w:eastAsia="zh-CN"/>
        </w:rPr>
        <w:t>均为</w:t>
      </w:r>
      <w:r>
        <w:rPr>
          <w:rFonts w:hint="eastAsia" w:ascii="仿宋_GB2312" w:eastAsia="仿宋_GB2312"/>
          <w:sz w:val="28"/>
          <w:szCs w:val="28"/>
          <w:highlight w:val="none"/>
        </w:rPr>
        <w:t>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247</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194.85元</w:t>
      </w:r>
      <w:r>
        <w:rPr>
          <w:rFonts w:hint="eastAsia" w:ascii="仿宋_GB2312" w:hAnsi="Times New Roman" w:eastAsia="仿宋_GB2312" w:cs="Times New Roman"/>
          <w:sz w:val="28"/>
          <w:szCs w:val="28"/>
          <w:highlight w:val="none"/>
        </w:rPr>
        <w:t>，比上年</w:t>
      </w:r>
      <w:r>
        <w:rPr>
          <w:rFonts w:hint="eastAsia" w:ascii="仿宋_GB2312" w:hAnsi="Times New Roman" w:eastAsia="仿宋_GB2312" w:cs="Times New Roman"/>
          <w:sz w:val="28"/>
          <w:szCs w:val="28"/>
          <w:highlight w:val="none"/>
          <w:lang w:val="en-US" w:eastAsia="zh-CN"/>
        </w:rPr>
        <w:t>2,267,643.08</w:t>
      </w:r>
      <w:r>
        <w:rPr>
          <w:rFonts w:hint="eastAsia" w:ascii="仿宋_GB2312" w:hAnsi="Times New Roman" w:eastAsia="仿宋_GB2312" w:cs="Times New Roman"/>
          <w:sz w:val="28"/>
          <w:szCs w:val="28"/>
          <w:highlight w:val="none"/>
          <w:lang w:eastAsia="zh-CN"/>
        </w:rPr>
        <w:t>元，</w:t>
      </w:r>
      <w:r>
        <w:rPr>
          <w:rFonts w:hint="eastAsia" w:ascii="仿宋_GB2312" w:eastAsia="仿宋_GB2312" w:cs="Times New Roman"/>
          <w:sz w:val="28"/>
          <w:szCs w:val="28"/>
          <w:highlight w:val="none"/>
          <w:lang w:eastAsia="zh-CN"/>
        </w:rPr>
        <w:t>减少</w:t>
      </w:r>
      <w:r>
        <w:rPr>
          <w:rFonts w:hint="eastAsia" w:ascii="仿宋_GB2312" w:eastAsia="仿宋_GB2312" w:cs="Times New Roman"/>
          <w:sz w:val="28"/>
          <w:szCs w:val="28"/>
          <w:highlight w:val="none"/>
          <w:lang w:val="en-US" w:eastAsia="zh-CN"/>
        </w:rPr>
        <w:t>20</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cs="Times New Roman"/>
          <w:sz w:val="28"/>
          <w:szCs w:val="28"/>
          <w:highlight w:val="none"/>
          <w:lang w:val="en-US" w:eastAsia="zh-CN"/>
        </w:rPr>
        <w:t>448.23</w:t>
      </w:r>
      <w:r>
        <w:rPr>
          <w:rFonts w:hint="eastAsia" w:ascii="仿宋_GB2312" w:hAnsi="Times New Roman" w:eastAsia="仿宋_GB2312" w:cs="Times New Roman"/>
          <w:sz w:val="28"/>
          <w:szCs w:val="28"/>
          <w:highlight w:val="none"/>
          <w:shd w:val="clear" w:color="auto" w:fill="auto"/>
        </w:rPr>
        <w:t>元，</w:t>
      </w:r>
      <w:r>
        <w:rPr>
          <w:rFonts w:hint="eastAsia" w:ascii="仿宋_GB2312" w:eastAsia="仿宋_GB2312" w:cs="Times New Roman"/>
          <w:sz w:val="28"/>
          <w:szCs w:val="28"/>
          <w:highlight w:val="none"/>
          <w:shd w:val="clear" w:color="auto" w:fill="auto"/>
          <w:lang w:eastAsia="zh-CN"/>
        </w:rPr>
        <w:t>下降了</w:t>
      </w:r>
      <w:r>
        <w:rPr>
          <w:rFonts w:hint="eastAsia" w:ascii="仿宋_GB2312" w:eastAsia="仿宋_GB2312" w:cs="Times New Roman"/>
          <w:sz w:val="28"/>
          <w:szCs w:val="28"/>
          <w:highlight w:val="none"/>
          <w:shd w:val="clear" w:color="auto" w:fill="auto"/>
          <w:lang w:val="en-US" w:eastAsia="zh-CN"/>
        </w:rPr>
        <w:t>0.9</w:t>
      </w:r>
      <w:r>
        <w:rPr>
          <w:rFonts w:hint="default" w:ascii="仿宋_GB2312" w:hAnsi="Times New Roman" w:eastAsia="仿宋_GB2312" w:cs="Times New Roman"/>
          <w:sz w:val="28"/>
          <w:szCs w:val="28"/>
          <w:highlight w:val="none"/>
          <w:shd w:val="clear" w:color="auto" w:fill="auto"/>
          <w:lang w:val="en-US" w:eastAsia="zh-CN"/>
        </w:rPr>
        <w:t>%</w:t>
      </w:r>
      <w:r>
        <w:rPr>
          <w:rFonts w:hint="eastAsia" w:ascii="仿宋_GB2312" w:hAnsi="Times New Roman" w:eastAsia="仿宋_GB2312" w:cs="Times New Roman"/>
          <w:sz w:val="28"/>
          <w:szCs w:val="28"/>
          <w:highlight w:val="none"/>
          <w:shd w:val="clear" w:color="auto" w:fill="auto"/>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楷体_GB2312" w:hAnsi="楷体_GB2312" w:eastAsia="楷体_GB2312" w:cs="楷体_GB2312"/>
          <w:sz w:val="28"/>
          <w:szCs w:val="28"/>
          <w:highlight w:val="none"/>
          <w:shd w:val="clear" w:color="auto" w:fill="auto"/>
        </w:rPr>
      </w:pPr>
      <w:r>
        <w:rPr>
          <w:rFonts w:hint="eastAsia" w:ascii="楷体_GB2312" w:hAnsi="楷体_GB2312" w:eastAsia="楷体_GB2312" w:cs="楷体_GB2312"/>
          <w:sz w:val="28"/>
          <w:szCs w:val="28"/>
          <w:highlight w:val="none"/>
          <w:shd w:val="clear" w:color="auto" w:fill="auto"/>
        </w:rPr>
        <w:t>（一）收入决算说明</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70"/>
        <w:textAlignment w:val="auto"/>
        <w:rPr>
          <w:rFonts w:hint="eastAsia" w:ascii="仿宋_GB2312" w:eastAsia="仿宋_GB2312" w:cs="Times New Roman"/>
          <w:sz w:val="28"/>
          <w:szCs w:val="28"/>
          <w:highlight w:val="none"/>
          <w:shd w:val="clear" w:color="auto" w:fill="auto"/>
          <w:lang w:val="en-US" w:eastAsia="zh-CN"/>
        </w:rPr>
      </w:pPr>
      <w:r>
        <w:rPr>
          <w:rFonts w:hint="eastAsia" w:ascii="仿宋_GB2312" w:eastAsia="仿宋_GB2312"/>
          <w:sz w:val="28"/>
          <w:szCs w:val="28"/>
          <w:highlight w:val="none"/>
          <w:shd w:val="clear" w:color="auto" w:fill="auto"/>
        </w:rPr>
        <w:t>202</w:t>
      </w:r>
      <w:r>
        <w:rPr>
          <w:rFonts w:hint="eastAsia" w:ascii="仿宋_GB2312" w:eastAsia="仿宋_GB2312"/>
          <w:sz w:val="28"/>
          <w:szCs w:val="28"/>
          <w:highlight w:val="none"/>
          <w:shd w:val="clear" w:color="auto" w:fill="auto"/>
          <w:lang w:val="en-US" w:eastAsia="zh-CN"/>
        </w:rPr>
        <w:t>4</w:t>
      </w:r>
      <w:r>
        <w:rPr>
          <w:rFonts w:hint="eastAsia" w:ascii="仿宋_GB2312" w:hAnsi="Times New Roman" w:eastAsia="仿宋_GB2312" w:cs="Times New Roman"/>
          <w:sz w:val="28"/>
          <w:szCs w:val="28"/>
          <w:highlight w:val="none"/>
          <w:shd w:val="clear" w:color="auto" w:fill="auto"/>
        </w:rPr>
        <w:t>年度本年收入合计</w:t>
      </w:r>
      <w:r>
        <w:rPr>
          <w:rFonts w:hint="eastAsia" w:ascii="仿宋_GB2312" w:eastAsia="仿宋_GB2312"/>
          <w:sz w:val="28"/>
          <w:szCs w:val="28"/>
          <w:highlight w:val="none"/>
        </w:rPr>
        <w:t>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247</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194.85</w:t>
      </w:r>
      <w:r>
        <w:rPr>
          <w:rFonts w:hint="eastAsia" w:ascii="仿宋_GB2312" w:eastAsia="仿宋_GB2312"/>
          <w:sz w:val="28"/>
          <w:szCs w:val="28"/>
          <w:highlight w:val="none"/>
          <w:shd w:val="clear" w:color="auto" w:fill="auto"/>
        </w:rPr>
        <w:t>元</w:t>
      </w:r>
      <w:r>
        <w:rPr>
          <w:rFonts w:hint="eastAsia" w:ascii="仿宋_GB2312" w:hAnsi="Times New Roman" w:eastAsia="仿宋_GB2312" w:cs="Times New Roman"/>
          <w:sz w:val="28"/>
          <w:szCs w:val="28"/>
          <w:highlight w:val="none"/>
          <w:shd w:val="clear" w:color="auto" w:fill="auto"/>
        </w:rPr>
        <w:t>，比上年</w:t>
      </w:r>
      <w:r>
        <w:rPr>
          <w:rFonts w:hint="eastAsia" w:ascii="仿宋_GB2312" w:hAnsi="Times New Roman" w:eastAsia="仿宋_GB2312" w:cs="Times New Roman"/>
          <w:sz w:val="28"/>
          <w:szCs w:val="28"/>
          <w:highlight w:val="none"/>
          <w:lang w:val="en-US" w:eastAsia="zh-CN"/>
        </w:rPr>
        <w:t>2,267,643.08</w:t>
      </w:r>
      <w:r>
        <w:rPr>
          <w:rFonts w:hint="eastAsia" w:ascii="仿宋_GB2312" w:hAnsi="Times New Roman" w:eastAsia="仿宋_GB2312" w:cs="Times New Roman"/>
          <w:sz w:val="28"/>
          <w:szCs w:val="28"/>
          <w:highlight w:val="none"/>
          <w:shd w:val="clear" w:color="auto" w:fill="auto"/>
          <w:lang w:eastAsia="zh-CN"/>
        </w:rPr>
        <w:t>元，</w:t>
      </w:r>
      <w:r>
        <w:rPr>
          <w:rFonts w:hint="eastAsia" w:ascii="仿宋_GB2312" w:eastAsia="仿宋_GB2312" w:cs="Times New Roman"/>
          <w:sz w:val="28"/>
          <w:szCs w:val="28"/>
          <w:highlight w:val="none"/>
          <w:shd w:val="clear" w:color="auto" w:fill="auto"/>
          <w:lang w:eastAsia="zh-CN"/>
        </w:rPr>
        <w:t>减少</w:t>
      </w:r>
      <w:r>
        <w:rPr>
          <w:rFonts w:hint="eastAsia" w:ascii="仿宋_GB2312" w:eastAsia="仿宋_GB2312" w:cs="Times New Roman"/>
          <w:sz w:val="28"/>
          <w:szCs w:val="28"/>
          <w:highlight w:val="none"/>
          <w:lang w:val="en-US" w:eastAsia="zh-CN"/>
        </w:rPr>
        <w:t>20</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cs="Times New Roman"/>
          <w:sz w:val="28"/>
          <w:szCs w:val="28"/>
          <w:highlight w:val="none"/>
          <w:lang w:val="en-US" w:eastAsia="zh-CN"/>
        </w:rPr>
        <w:t>448.23</w:t>
      </w:r>
      <w:r>
        <w:rPr>
          <w:rFonts w:hint="eastAsia" w:ascii="仿宋_GB2312" w:hAnsi="Times New Roman" w:eastAsia="仿宋_GB2312" w:cs="Times New Roman"/>
          <w:sz w:val="28"/>
          <w:szCs w:val="28"/>
          <w:highlight w:val="none"/>
          <w:shd w:val="clear" w:color="auto" w:fill="auto"/>
        </w:rPr>
        <w:t>元，</w:t>
      </w:r>
      <w:r>
        <w:rPr>
          <w:rFonts w:hint="eastAsia" w:ascii="仿宋_GB2312" w:eastAsia="仿宋_GB2312" w:cs="Times New Roman"/>
          <w:sz w:val="28"/>
          <w:szCs w:val="28"/>
          <w:highlight w:val="none"/>
          <w:shd w:val="clear" w:color="auto" w:fill="auto"/>
          <w:lang w:eastAsia="zh-CN"/>
        </w:rPr>
        <w:t>下降了</w:t>
      </w:r>
      <w:r>
        <w:rPr>
          <w:rFonts w:hint="eastAsia" w:ascii="仿宋_GB2312" w:eastAsia="仿宋_GB2312" w:cs="Times New Roman"/>
          <w:sz w:val="28"/>
          <w:szCs w:val="28"/>
          <w:highlight w:val="none"/>
          <w:shd w:val="clear" w:color="auto" w:fill="auto"/>
          <w:lang w:val="en-US" w:eastAsia="zh-CN"/>
        </w:rPr>
        <w:t>0.9</w:t>
      </w:r>
      <w:r>
        <w:rPr>
          <w:rFonts w:hint="default" w:ascii="仿宋_GB2312" w:hAnsi="Times New Roman" w:eastAsia="仿宋_GB2312" w:cs="Times New Roman"/>
          <w:sz w:val="28"/>
          <w:szCs w:val="28"/>
          <w:highlight w:val="none"/>
          <w:shd w:val="clear" w:color="auto" w:fill="auto"/>
          <w:lang w:val="en-US" w:eastAsia="zh-CN"/>
        </w:rPr>
        <w:t>%</w:t>
      </w:r>
      <w:r>
        <w:rPr>
          <w:rFonts w:hint="eastAsia" w:ascii="仿宋_GB2312" w:eastAsia="仿宋_GB2312" w:cs="Times New Roman"/>
          <w:sz w:val="28"/>
          <w:szCs w:val="28"/>
          <w:highlight w:val="none"/>
          <w:shd w:val="clear" w:color="auto" w:fill="auto"/>
          <w:lang w:val="en-US" w:eastAsia="zh-CN"/>
        </w:rPr>
        <w:t>。</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70"/>
        <w:textAlignment w:val="auto"/>
        <w:rPr>
          <w:rFonts w:hint="eastAsia" w:ascii="仿宋_GB2312" w:hAnsi="Times New Roman" w:eastAsia="仿宋_GB2312" w:cs="Times New Roman"/>
          <w:sz w:val="28"/>
          <w:szCs w:val="28"/>
          <w:highlight w:val="none"/>
          <w:shd w:val="clear" w:color="auto" w:fill="auto"/>
          <w:lang w:eastAsia="zh-CN"/>
        </w:rPr>
      </w:pPr>
      <w:r>
        <w:rPr>
          <w:rFonts w:hint="eastAsia" w:ascii="仿宋_GB2312" w:eastAsia="仿宋_GB2312" w:cs="Times New Roman"/>
          <w:sz w:val="28"/>
          <w:szCs w:val="28"/>
          <w:highlight w:val="none"/>
          <w:shd w:val="clear" w:color="auto" w:fill="auto"/>
          <w:lang w:val="en-US" w:eastAsia="zh-CN"/>
        </w:rPr>
        <w:t>1.</w:t>
      </w:r>
      <w:r>
        <w:rPr>
          <w:rFonts w:hint="eastAsia" w:ascii="仿宋_GB2312" w:hAnsi="Times New Roman" w:eastAsia="仿宋_GB2312" w:cs="Times New Roman"/>
          <w:sz w:val="28"/>
          <w:szCs w:val="28"/>
          <w:highlight w:val="none"/>
          <w:shd w:val="clear" w:color="auto" w:fill="auto"/>
        </w:rPr>
        <w:t>财政拨款收入</w:t>
      </w:r>
      <w:r>
        <w:rPr>
          <w:rFonts w:hint="eastAsia" w:ascii="仿宋_GB2312" w:eastAsia="仿宋_GB2312"/>
          <w:sz w:val="28"/>
          <w:szCs w:val="28"/>
          <w:highlight w:val="none"/>
        </w:rPr>
        <w:t>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247</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194.85</w:t>
      </w:r>
      <w:r>
        <w:rPr>
          <w:rFonts w:hint="eastAsia" w:ascii="仿宋_GB2312" w:hAnsi="Times New Roman" w:eastAsia="仿宋_GB2312" w:cs="Times New Roman"/>
          <w:sz w:val="28"/>
          <w:szCs w:val="28"/>
          <w:highlight w:val="none"/>
          <w:shd w:val="clear" w:color="auto" w:fill="auto"/>
        </w:rPr>
        <w:t>元，占收入合计的100%</w:t>
      </w:r>
      <w:r>
        <w:rPr>
          <w:rFonts w:hint="eastAsia" w:ascii="仿宋_GB2312" w:eastAsia="仿宋_GB2312" w:cs="Times New Roman"/>
          <w:sz w:val="28"/>
          <w:szCs w:val="28"/>
          <w:highlight w:val="none"/>
          <w:shd w:val="clear" w:color="auto" w:fill="auto"/>
          <w:lang w:eastAsia="zh-CN"/>
        </w:rPr>
        <w:t>。其中：一般公共预算财政拨款收入0万元，占收入合计的0%；政府性基金预算财政拨款收入0万元，占收入合计的0%；国有资本经营预算财政拨款收入0万元，占收入合计的0%；</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70"/>
        <w:textAlignment w:val="auto"/>
        <w:rPr>
          <w:rFonts w:hint="eastAsia" w:ascii="仿宋_GB2312" w:eastAsia="仿宋_GB2312"/>
          <w:sz w:val="28"/>
          <w:szCs w:val="28"/>
          <w:highlight w:val="none"/>
          <w:shd w:val="clear" w:color="auto" w:fill="auto"/>
        </w:rPr>
      </w:pPr>
      <w:r>
        <w:rPr>
          <w:rFonts w:hint="eastAsia" w:ascii="仿宋_GB2312" w:eastAsia="仿宋_GB2312" w:cs="Times New Roman"/>
          <w:sz w:val="28"/>
          <w:szCs w:val="28"/>
          <w:highlight w:val="none"/>
          <w:shd w:val="clear" w:color="auto" w:fill="auto"/>
          <w:lang w:val="en-US" w:eastAsia="zh-CN"/>
        </w:rPr>
        <w:t>2.</w:t>
      </w:r>
      <w:r>
        <w:rPr>
          <w:rFonts w:hint="eastAsia" w:ascii="仿宋_GB2312" w:hAnsi="Times New Roman" w:eastAsia="仿宋_GB2312" w:cs="Times New Roman"/>
          <w:sz w:val="28"/>
          <w:szCs w:val="28"/>
          <w:highlight w:val="none"/>
          <w:shd w:val="clear" w:color="auto" w:fill="auto"/>
        </w:rPr>
        <w:t>上级</w:t>
      </w:r>
      <w:r>
        <w:rPr>
          <w:rFonts w:hint="eastAsia" w:ascii="仿宋_GB2312" w:eastAsia="仿宋_GB2312"/>
          <w:sz w:val="28"/>
          <w:szCs w:val="28"/>
          <w:highlight w:val="none"/>
          <w:shd w:val="clear" w:color="auto" w:fill="auto"/>
        </w:rPr>
        <w:t>补助收入</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元，占收入合计的</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7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3.</w:t>
      </w:r>
      <w:r>
        <w:rPr>
          <w:rFonts w:hint="eastAsia" w:ascii="仿宋_GB2312" w:eastAsia="仿宋_GB2312"/>
          <w:sz w:val="28"/>
          <w:szCs w:val="28"/>
          <w:highlight w:val="none"/>
          <w:shd w:val="clear" w:color="auto" w:fill="auto"/>
        </w:rPr>
        <w:t>事业收入</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元，占收入合计的</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7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4.</w:t>
      </w:r>
      <w:r>
        <w:rPr>
          <w:rFonts w:hint="eastAsia" w:ascii="仿宋_GB2312" w:eastAsia="仿宋_GB2312"/>
          <w:sz w:val="28"/>
          <w:szCs w:val="28"/>
          <w:highlight w:val="none"/>
          <w:shd w:val="clear" w:color="auto" w:fill="auto"/>
        </w:rPr>
        <w:t>经营收入</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元，占收入合计的</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7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5.</w:t>
      </w:r>
      <w:r>
        <w:rPr>
          <w:rFonts w:hint="eastAsia" w:ascii="仿宋_GB2312" w:eastAsia="仿宋_GB2312"/>
          <w:sz w:val="28"/>
          <w:szCs w:val="28"/>
          <w:highlight w:val="none"/>
          <w:shd w:val="clear" w:color="auto" w:fill="auto"/>
        </w:rPr>
        <w:t>附属单位上缴收入</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元，占收入合计的</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7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6.</w:t>
      </w:r>
      <w:r>
        <w:rPr>
          <w:rFonts w:hint="eastAsia" w:ascii="仿宋_GB2312" w:eastAsia="仿宋_GB2312"/>
          <w:sz w:val="28"/>
          <w:szCs w:val="28"/>
          <w:highlight w:val="none"/>
          <w:shd w:val="clear" w:color="auto" w:fill="auto"/>
        </w:rPr>
        <w:t>其他收入</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万元，占收入合计的</w:t>
      </w:r>
      <w:r>
        <w:rPr>
          <w:rFonts w:ascii="仿宋_GB2312" w:eastAsia="仿宋_GB2312"/>
          <w:sz w:val="28"/>
          <w:szCs w:val="28"/>
          <w:highlight w:val="none"/>
          <w:shd w:val="clear" w:color="auto" w:fill="auto"/>
        </w:rPr>
        <w:t>0</w:t>
      </w:r>
      <w:r>
        <w:rPr>
          <w:rFonts w:hint="eastAsia" w:ascii="仿宋_GB2312" w:eastAsia="仿宋_GB2312"/>
          <w:sz w:val="28"/>
          <w:szCs w:val="28"/>
          <w:highlight w:val="none"/>
          <w:shd w:val="clear" w:color="auto" w:fill="auto"/>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楷体_GB2312" w:hAnsi="楷体_GB2312" w:eastAsia="楷体_GB2312" w:cs="楷体_GB2312"/>
          <w:sz w:val="28"/>
          <w:szCs w:val="28"/>
          <w:highlight w:val="none"/>
          <w:shd w:val="clear" w:color="auto" w:fill="auto"/>
        </w:rPr>
      </w:pPr>
      <w:r>
        <w:rPr>
          <w:rFonts w:hint="eastAsia" w:ascii="楷体_GB2312" w:hAnsi="楷体_GB2312" w:eastAsia="楷体_GB2312" w:cs="楷体_GB2312"/>
          <w:sz w:val="28"/>
          <w:szCs w:val="28"/>
          <w:highlight w:val="none"/>
          <w:shd w:val="clear" w:color="auto" w:fill="auto"/>
        </w:rPr>
        <w:t>（二）支出决算说明</w:t>
      </w:r>
    </w:p>
    <w:p>
      <w:pPr>
        <w:keepNext w:val="0"/>
        <w:keepLines w:val="0"/>
        <w:pageBreakBefore w:val="0"/>
        <w:widowControl w:val="0"/>
        <w:tabs>
          <w:tab w:val="center" w:pos="6979"/>
        </w:tabs>
        <w:kinsoku/>
        <w:wordWrap/>
        <w:overflowPunct/>
        <w:topLinePunct w:val="0"/>
        <w:autoSpaceDE/>
        <w:autoSpaceDN/>
        <w:bidi w:val="0"/>
        <w:adjustRightInd/>
        <w:snapToGrid/>
        <w:spacing w:line="240" w:lineRule="auto"/>
        <w:ind w:firstLine="570"/>
        <w:textAlignment w:val="auto"/>
        <w:rPr>
          <w:rFonts w:hint="eastAsia" w:ascii="仿宋_GB2312" w:eastAsia="仿宋_GB2312"/>
          <w:sz w:val="28"/>
          <w:szCs w:val="28"/>
          <w:highlight w:val="none"/>
          <w:lang w:eastAsia="zh-CN"/>
        </w:rPr>
      </w:pPr>
      <w:r>
        <w:rPr>
          <w:rFonts w:hint="eastAsia" w:ascii="仿宋_GB2312" w:eastAsia="仿宋_GB2312"/>
          <w:sz w:val="28"/>
          <w:szCs w:val="28"/>
          <w:highlight w:val="none"/>
          <w:lang w:eastAsia="zh-CN"/>
        </w:rPr>
        <w:t>2024</w:t>
      </w:r>
      <w:r>
        <w:rPr>
          <w:rFonts w:hint="eastAsia" w:ascii="仿宋_GB2312" w:eastAsia="仿宋_GB2312"/>
          <w:sz w:val="28"/>
          <w:szCs w:val="28"/>
          <w:highlight w:val="none"/>
        </w:rPr>
        <w:t>年度本年支出合</w:t>
      </w:r>
      <w:r>
        <w:rPr>
          <w:rFonts w:hint="eastAsia" w:ascii="仿宋_GB2312" w:hAnsi="Times New Roman" w:eastAsia="仿宋_GB2312" w:cs="Times New Roman"/>
          <w:sz w:val="28"/>
          <w:szCs w:val="28"/>
          <w:highlight w:val="none"/>
          <w:shd w:val="clear" w:color="auto" w:fill="auto"/>
        </w:rPr>
        <w:t>计</w:t>
      </w:r>
      <w:r>
        <w:rPr>
          <w:rFonts w:hint="eastAsia" w:ascii="仿宋_GB2312" w:eastAsia="仿宋_GB2312"/>
          <w:sz w:val="28"/>
          <w:szCs w:val="28"/>
          <w:highlight w:val="none"/>
        </w:rPr>
        <w:t>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247</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194.85</w:t>
      </w:r>
      <w:r>
        <w:rPr>
          <w:rFonts w:hint="eastAsia" w:ascii="仿宋_GB2312" w:eastAsia="仿宋_GB2312"/>
          <w:sz w:val="28"/>
          <w:szCs w:val="28"/>
          <w:highlight w:val="none"/>
          <w:shd w:val="clear" w:color="auto" w:fill="auto"/>
        </w:rPr>
        <w:t>元</w:t>
      </w:r>
      <w:r>
        <w:rPr>
          <w:rFonts w:hint="eastAsia" w:ascii="仿宋_GB2312" w:hAnsi="Times New Roman" w:eastAsia="仿宋_GB2312" w:cs="Times New Roman"/>
          <w:sz w:val="28"/>
          <w:szCs w:val="28"/>
          <w:highlight w:val="none"/>
          <w:shd w:val="clear" w:color="auto" w:fill="auto"/>
        </w:rPr>
        <w:t>，比上年</w:t>
      </w:r>
      <w:r>
        <w:rPr>
          <w:rFonts w:hint="eastAsia" w:ascii="仿宋_GB2312" w:hAnsi="Times New Roman" w:eastAsia="仿宋_GB2312" w:cs="Times New Roman"/>
          <w:sz w:val="28"/>
          <w:szCs w:val="28"/>
          <w:highlight w:val="none"/>
          <w:lang w:val="en-US" w:eastAsia="zh-CN"/>
        </w:rPr>
        <w:t>2,267,643.08</w:t>
      </w:r>
      <w:r>
        <w:rPr>
          <w:rFonts w:hint="eastAsia" w:ascii="仿宋_GB2312" w:hAnsi="Times New Roman" w:eastAsia="仿宋_GB2312" w:cs="Times New Roman"/>
          <w:sz w:val="28"/>
          <w:szCs w:val="28"/>
          <w:highlight w:val="none"/>
          <w:shd w:val="clear" w:color="auto" w:fill="auto"/>
          <w:lang w:eastAsia="zh-CN"/>
        </w:rPr>
        <w:t>元，</w:t>
      </w:r>
      <w:r>
        <w:rPr>
          <w:rFonts w:hint="eastAsia" w:ascii="仿宋_GB2312" w:eastAsia="仿宋_GB2312" w:cs="Times New Roman"/>
          <w:sz w:val="28"/>
          <w:szCs w:val="28"/>
          <w:highlight w:val="none"/>
          <w:shd w:val="clear" w:color="auto" w:fill="auto"/>
          <w:lang w:eastAsia="zh-CN"/>
        </w:rPr>
        <w:t>减少</w:t>
      </w:r>
      <w:r>
        <w:rPr>
          <w:rFonts w:hint="eastAsia" w:ascii="仿宋_GB2312" w:eastAsia="仿宋_GB2312" w:cs="Times New Roman"/>
          <w:sz w:val="28"/>
          <w:szCs w:val="28"/>
          <w:highlight w:val="none"/>
          <w:lang w:val="en-US" w:eastAsia="zh-CN"/>
        </w:rPr>
        <w:t>20</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cs="Times New Roman"/>
          <w:sz w:val="28"/>
          <w:szCs w:val="28"/>
          <w:highlight w:val="none"/>
          <w:lang w:val="en-US" w:eastAsia="zh-CN"/>
        </w:rPr>
        <w:t>448.23</w:t>
      </w:r>
      <w:r>
        <w:rPr>
          <w:rFonts w:hint="eastAsia" w:ascii="仿宋_GB2312" w:hAnsi="Times New Roman" w:eastAsia="仿宋_GB2312" w:cs="Times New Roman"/>
          <w:sz w:val="28"/>
          <w:szCs w:val="28"/>
          <w:highlight w:val="none"/>
          <w:shd w:val="clear" w:color="auto" w:fill="auto"/>
        </w:rPr>
        <w:t>元，</w:t>
      </w:r>
      <w:r>
        <w:rPr>
          <w:rFonts w:hint="eastAsia" w:ascii="仿宋_GB2312" w:eastAsia="仿宋_GB2312" w:cs="Times New Roman"/>
          <w:sz w:val="28"/>
          <w:szCs w:val="28"/>
          <w:highlight w:val="none"/>
          <w:shd w:val="clear" w:color="auto" w:fill="auto"/>
          <w:lang w:eastAsia="zh-CN"/>
        </w:rPr>
        <w:t>下降了</w:t>
      </w:r>
      <w:r>
        <w:rPr>
          <w:rFonts w:hint="eastAsia" w:ascii="仿宋_GB2312" w:eastAsia="仿宋_GB2312" w:cs="Times New Roman"/>
          <w:sz w:val="28"/>
          <w:szCs w:val="28"/>
          <w:highlight w:val="none"/>
          <w:shd w:val="clear" w:color="auto" w:fill="auto"/>
          <w:lang w:val="en-US" w:eastAsia="zh-CN"/>
        </w:rPr>
        <w:t>0.9</w:t>
      </w:r>
      <w:r>
        <w:rPr>
          <w:rFonts w:hint="default" w:ascii="仿宋_GB2312" w:hAnsi="Times New Roman" w:eastAsia="仿宋_GB2312" w:cs="Times New Roman"/>
          <w:sz w:val="28"/>
          <w:szCs w:val="28"/>
          <w:highlight w:val="none"/>
          <w:shd w:val="clear" w:color="auto" w:fill="auto"/>
          <w:lang w:val="en-US" w:eastAsia="zh-CN"/>
        </w:rPr>
        <w:t>%</w:t>
      </w:r>
      <w:r>
        <w:rPr>
          <w:rFonts w:hint="eastAsia" w:ascii="仿宋_GB2312" w:hAnsi="Times New Roman" w:eastAsia="仿宋_GB2312" w:cs="Times New Roman"/>
          <w:sz w:val="28"/>
          <w:szCs w:val="28"/>
          <w:highlight w:val="none"/>
          <w:shd w:val="clear" w:color="auto" w:fill="auto"/>
        </w:rPr>
        <w:t>，</w:t>
      </w:r>
      <w:r>
        <w:rPr>
          <w:rFonts w:hint="eastAsia" w:ascii="仿宋_GB2312" w:hAnsi="Times New Roman" w:eastAsia="仿宋_GB2312" w:cs="Times New Roman"/>
          <w:sz w:val="28"/>
          <w:szCs w:val="28"/>
          <w:highlight w:val="none"/>
        </w:rPr>
        <w:t>其中</w:t>
      </w:r>
      <w:r>
        <w:rPr>
          <w:rFonts w:hint="eastAsia" w:ascii="仿宋_GB2312" w:eastAsia="仿宋_GB2312"/>
          <w:sz w:val="28"/>
          <w:szCs w:val="28"/>
          <w:highlight w:val="none"/>
        </w:rPr>
        <w:t>：基本支出1</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925</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030.30元，占支出合计的</w:t>
      </w:r>
      <w:r>
        <w:rPr>
          <w:rFonts w:hint="eastAsia" w:ascii="仿宋_GB2312" w:eastAsia="仿宋_GB2312"/>
          <w:sz w:val="28"/>
          <w:szCs w:val="28"/>
          <w:highlight w:val="none"/>
          <w:lang w:val="en-US" w:eastAsia="zh-CN"/>
        </w:rPr>
        <w:t>85.7</w:t>
      </w:r>
      <w:r>
        <w:rPr>
          <w:rFonts w:hint="eastAsia" w:ascii="仿宋_GB2312" w:eastAsia="仿宋_GB2312"/>
          <w:sz w:val="28"/>
          <w:szCs w:val="28"/>
          <w:highlight w:val="none"/>
        </w:rPr>
        <w:t>%；项目支出322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164.55元，占支出合计的</w:t>
      </w:r>
      <w:r>
        <w:rPr>
          <w:rFonts w:hint="eastAsia" w:ascii="仿宋_GB2312" w:eastAsia="仿宋_GB2312"/>
          <w:sz w:val="28"/>
          <w:szCs w:val="28"/>
          <w:highlight w:val="none"/>
          <w:lang w:val="en-US" w:eastAsia="zh-CN"/>
        </w:rPr>
        <w:t>14.3</w:t>
      </w:r>
      <w:r>
        <w:rPr>
          <w:rFonts w:hint="eastAsia" w:ascii="仿宋_GB2312" w:eastAsia="仿宋_GB2312"/>
          <w:sz w:val="28"/>
          <w:szCs w:val="28"/>
          <w:highlight w:val="none"/>
        </w:rPr>
        <w:t>%;上缴上级支出</w:t>
      </w:r>
      <w:r>
        <w:rPr>
          <w:rFonts w:ascii="仿宋_GB2312" w:eastAsia="仿宋_GB2312"/>
          <w:sz w:val="28"/>
          <w:szCs w:val="28"/>
          <w:highlight w:val="none"/>
        </w:rPr>
        <w:t>0</w:t>
      </w:r>
      <w:r>
        <w:rPr>
          <w:rFonts w:hint="eastAsia" w:ascii="仿宋_GB2312" w:eastAsia="仿宋_GB2312"/>
          <w:sz w:val="28"/>
          <w:szCs w:val="28"/>
          <w:highlight w:val="none"/>
        </w:rPr>
        <w:t>元，占支出合计的</w:t>
      </w:r>
      <w:r>
        <w:rPr>
          <w:rFonts w:ascii="仿宋_GB2312" w:eastAsia="仿宋_GB2312"/>
          <w:sz w:val="28"/>
          <w:szCs w:val="28"/>
          <w:highlight w:val="none"/>
        </w:rPr>
        <w:t>0</w:t>
      </w:r>
      <w:r>
        <w:rPr>
          <w:rFonts w:hint="eastAsia" w:ascii="仿宋_GB2312" w:eastAsia="仿宋_GB2312"/>
          <w:sz w:val="28"/>
          <w:szCs w:val="28"/>
          <w:highlight w:val="none"/>
        </w:rPr>
        <w:t>%；经营支出</w:t>
      </w:r>
      <w:r>
        <w:rPr>
          <w:rFonts w:ascii="仿宋_GB2312" w:eastAsia="仿宋_GB2312"/>
          <w:sz w:val="28"/>
          <w:szCs w:val="28"/>
          <w:highlight w:val="none"/>
        </w:rPr>
        <w:t>0</w:t>
      </w:r>
      <w:r>
        <w:rPr>
          <w:rFonts w:hint="eastAsia" w:ascii="仿宋_GB2312" w:eastAsia="仿宋_GB2312"/>
          <w:sz w:val="28"/>
          <w:szCs w:val="28"/>
          <w:highlight w:val="none"/>
        </w:rPr>
        <w:t>元，占支出合计的</w:t>
      </w:r>
      <w:r>
        <w:rPr>
          <w:rFonts w:ascii="仿宋_GB2312" w:eastAsia="仿宋_GB2312"/>
          <w:sz w:val="28"/>
          <w:szCs w:val="28"/>
          <w:highlight w:val="none"/>
        </w:rPr>
        <w:t>0</w:t>
      </w:r>
      <w:r>
        <w:rPr>
          <w:rFonts w:hint="eastAsia" w:ascii="仿宋_GB2312" w:eastAsia="仿宋_GB2312"/>
          <w:sz w:val="28"/>
          <w:szCs w:val="28"/>
          <w:highlight w:val="none"/>
        </w:rPr>
        <w:t>%；对附属单位补助支出</w:t>
      </w:r>
      <w:r>
        <w:rPr>
          <w:rFonts w:ascii="仿宋_GB2312" w:eastAsia="仿宋_GB2312"/>
          <w:sz w:val="28"/>
          <w:szCs w:val="28"/>
          <w:highlight w:val="none"/>
        </w:rPr>
        <w:t>0</w:t>
      </w:r>
      <w:r>
        <w:rPr>
          <w:rFonts w:hint="eastAsia" w:ascii="仿宋_GB2312" w:eastAsia="仿宋_GB2312"/>
          <w:sz w:val="28"/>
          <w:szCs w:val="28"/>
          <w:highlight w:val="none"/>
        </w:rPr>
        <w:t>元，占支出合计的</w:t>
      </w:r>
      <w:r>
        <w:rPr>
          <w:rFonts w:ascii="仿宋_GB2312" w:eastAsia="仿宋_GB2312"/>
          <w:sz w:val="28"/>
          <w:szCs w:val="28"/>
          <w:highlight w:val="none"/>
        </w:rPr>
        <w:t>0</w:t>
      </w:r>
      <w:r>
        <w:rPr>
          <w:rFonts w:hint="eastAsia" w:ascii="仿宋_GB2312" w:eastAsia="仿宋_GB2312"/>
          <w:sz w:val="28"/>
          <w:szCs w:val="28"/>
          <w:highlight w:val="none"/>
        </w:rPr>
        <w:t>%。</w:t>
      </w:r>
    </w:p>
    <w:p>
      <w:pPr>
        <w:tabs>
          <w:tab w:val="center" w:pos="6979"/>
        </w:tabs>
        <w:spacing w:line="580" w:lineRule="exact"/>
        <w:ind w:firstLine="548" w:firstLineChars="196"/>
        <w:rPr>
          <w:rFonts w:ascii="黑体" w:eastAsia="黑体"/>
          <w:b/>
          <w:sz w:val="28"/>
          <w:szCs w:val="28"/>
          <w:highlight w:val="none"/>
        </w:rPr>
      </w:pPr>
      <w:r>
        <w:rPr>
          <w:rFonts w:hint="eastAsia" w:ascii="黑体" w:eastAsia="黑体"/>
          <w:b/>
          <w:sz w:val="28"/>
          <w:szCs w:val="28"/>
          <w:highlight w:val="none"/>
        </w:rPr>
        <w:t>三</w:t>
      </w:r>
      <w:r>
        <w:rPr>
          <w:rFonts w:ascii="黑体" w:eastAsia="黑体"/>
          <w:b/>
          <w:sz w:val="28"/>
          <w:szCs w:val="28"/>
          <w:highlight w:val="none"/>
        </w:rPr>
        <w:t>、财政拨款</w:t>
      </w:r>
      <w:r>
        <w:rPr>
          <w:rFonts w:hint="eastAsia" w:ascii="黑体" w:eastAsia="黑体"/>
          <w:b/>
          <w:sz w:val="28"/>
          <w:szCs w:val="28"/>
          <w:highlight w:val="none"/>
        </w:rPr>
        <w:t>收入支出决算</w:t>
      </w:r>
      <w:r>
        <w:rPr>
          <w:rFonts w:ascii="黑体" w:eastAsia="黑体"/>
          <w:b/>
          <w:sz w:val="28"/>
          <w:szCs w:val="28"/>
          <w:highlight w:val="none"/>
        </w:rPr>
        <w:t>总体情况说明</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hint="eastAsia"/>
          <w:sz w:val="28"/>
          <w:szCs w:val="28"/>
        </w:rPr>
      </w:pPr>
      <w:r>
        <w:rPr>
          <w:rFonts w:hint="eastAsia" w:ascii="仿宋_GB2312" w:hAnsi="仿宋_GB2312" w:eastAsia="仿宋_GB2312" w:cs="仿宋_GB2312"/>
          <w:sz w:val="28"/>
          <w:szCs w:val="28"/>
          <w:highlight w:val="none"/>
          <w:lang w:eastAsia="zh-CN"/>
        </w:rPr>
        <w:t>2024</w:t>
      </w:r>
      <w:r>
        <w:rPr>
          <w:rFonts w:hint="eastAsia" w:ascii="仿宋_GB2312" w:hAnsi="仿宋_GB2312" w:eastAsia="仿宋_GB2312" w:cs="仿宋_GB2312"/>
          <w:sz w:val="28"/>
          <w:szCs w:val="28"/>
          <w:highlight w:val="none"/>
        </w:rPr>
        <w:t>年度财政拨款收、支</w:t>
      </w:r>
      <w:r>
        <w:rPr>
          <w:rFonts w:hint="eastAsia" w:ascii="仿宋_GB2312" w:hAnsi="仿宋_GB2312" w:eastAsia="仿宋_GB2312" w:cs="仿宋_GB2312"/>
          <w:sz w:val="28"/>
          <w:szCs w:val="28"/>
          <w:highlight w:val="none"/>
          <w:lang w:eastAsia="zh-CN"/>
        </w:rPr>
        <w:t>均为</w:t>
      </w:r>
      <w:r>
        <w:rPr>
          <w:rFonts w:hint="eastAsia" w:ascii="仿宋_GB2312" w:eastAsia="仿宋_GB2312"/>
          <w:sz w:val="28"/>
          <w:szCs w:val="28"/>
          <w:highlight w:val="none"/>
        </w:rPr>
        <w:t>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247</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194.85</w:t>
      </w:r>
      <w:r>
        <w:rPr>
          <w:rFonts w:hint="eastAsia" w:ascii="仿宋_GB2312" w:hAnsi="仿宋_GB2312" w:eastAsia="仿宋_GB2312" w:cs="仿宋_GB2312"/>
          <w:sz w:val="28"/>
          <w:szCs w:val="28"/>
          <w:highlight w:val="none"/>
        </w:rPr>
        <w:t>元，</w:t>
      </w:r>
      <w:r>
        <w:rPr>
          <w:rFonts w:hint="eastAsia" w:ascii="仿宋_GB2312" w:hAnsi="Times New Roman" w:eastAsia="仿宋_GB2312" w:cs="Times New Roman"/>
          <w:sz w:val="28"/>
          <w:szCs w:val="28"/>
          <w:highlight w:val="none"/>
          <w:shd w:val="clear" w:color="auto" w:fill="auto"/>
        </w:rPr>
        <w:t>比上年</w:t>
      </w:r>
      <w:r>
        <w:rPr>
          <w:rFonts w:hint="eastAsia" w:ascii="仿宋_GB2312" w:hAnsi="Times New Roman" w:eastAsia="仿宋_GB2312" w:cs="Times New Roman"/>
          <w:sz w:val="28"/>
          <w:szCs w:val="28"/>
          <w:highlight w:val="none"/>
          <w:lang w:val="en-US" w:eastAsia="zh-CN"/>
        </w:rPr>
        <w:t>2,267,643.08</w:t>
      </w:r>
      <w:r>
        <w:rPr>
          <w:rFonts w:hint="eastAsia" w:ascii="仿宋_GB2312" w:hAnsi="Times New Roman" w:eastAsia="仿宋_GB2312" w:cs="Times New Roman"/>
          <w:sz w:val="28"/>
          <w:szCs w:val="28"/>
          <w:highlight w:val="none"/>
          <w:shd w:val="clear" w:color="auto" w:fill="auto"/>
          <w:lang w:eastAsia="zh-CN"/>
        </w:rPr>
        <w:t>元，</w:t>
      </w:r>
      <w:r>
        <w:rPr>
          <w:rFonts w:hint="eastAsia" w:ascii="仿宋_GB2312" w:eastAsia="仿宋_GB2312" w:cs="Times New Roman"/>
          <w:sz w:val="28"/>
          <w:szCs w:val="28"/>
          <w:highlight w:val="none"/>
          <w:shd w:val="clear" w:color="auto" w:fill="auto"/>
          <w:lang w:eastAsia="zh-CN"/>
        </w:rPr>
        <w:t>减少</w:t>
      </w:r>
      <w:r>
        <w:rPr>
          <w:rFonts w:hint="eastAsia" w:ascii="仿宋_GB2312" w:eastAsia="仿宋_GB2312" w:cs="Times New Roman"/>
          <w:sz w:val="28"/>
          <w:szCs w:val="28"/>
          <w:highlight w:val="none"/>
          <w:lang w:val="en-US" w:eastAsia="zh-CN"/>
        </w:rPr>
        <w:t>20</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cs="Times New Roman"/>
          <w:sz w:val="28"/>
          <w:szCs w:val="28"/>
          <w:highlight w:val="none"/>
          <w:lang w:val="en-US" w:eastAsia="zh-CN"/>
        </w:rPr>
        <w:t>448.23</w:t>
      </w:r>
      <w:r>
        <w:rPr>
          <w:rFonts w:hint="eastAsia" w:ascii="仿宋_GB2312" w:hAnsi="Times New Roman" w:eastAsia="仿宋_GB2312" w:cs="Times New Roman"/>
          <w:sz w:val="28"/>
          <w:szCs w:val="28"/>
          <w:highlight w:val="none"/>
          <w:shd w:val="clear" w:color="auto" w:fill="auto"/>
        </w:rPr>
        <w:t>元，</w:t>
      </w:r>
      <w:r>
        <w:rPr>
          <w:rFonts w:hint="eastAsia" w:ascii="仿宋_GB2312" w:eastAsia="仿宋_GB2312" w:cs="Times New Roman"/>
          <w:sz w:val="28"/>
          <w:szCs w:val="28"/>
          <w:highlight w:val="none"/>
          <w:shd w:val="clear" w:color="auto" w:fill="auto"/>
          <w:lang w:eastAsia="zh-CN"/>
        </w:rPr>
        <w:t>下降了</w:t>
      </w:r>
      <w:r>
        <w:rPr>
          <w:rFonts w:hint="eastAsia" w:ascii="仿宋_GB2312" w:eastAsia="仿宋_GB2312" w:cs="Times New Roman"/>
          <w:sz w:val="28"/>
          <w:szCs w:val="28"/>
          <w:highlight w:val="none"/>
          <w:shd w:val="clear" w:color="auto" w:fill="auto"/>
          <w:lang w:val="en-US" w:eastAsia="zh-CN"/>
        </w:rPr>
        <w:t>0.9</w:t>
      </w:r>
      <w:r>
        <w:rPr>
          <w:rFonts w:hint="default" w:ascii="仿宋_GB2312" w:hAnsi="Times New Roman" w:eastAsia="仿宋_GB2312" w:cs="Times New Roman"/>
          <w:sz w:val="28"/>
          <w:szCs w:val="28"/>
          <w:highlight w:val="none"/>
          <w:shd w:val="clear" w:color="auto" w:fill="auto"/>
          <w:lang w:val="en-US" w:eastAsia="zh-CN"/>
        </w:rPr>
        <w:t>%</w:t>
      </w:r>
      <w:r>
        <w:rPr>
          <w:rFonts w:hint="eastAsia" w:ascii="仿宋_GB2312" w:hAnsi="仿宋_GB2312" w:eastAsia="仿宋_GB2312" w:cs="仿宋_GB2312"/>
          <w:sz w:val="28"/>
          <w:szCs w:val="28"/>
          <w:highlight w:val="none"/>
        </w:rPr>
        <w:t>。主要原因</w:t>
      </w:r>
      <w:r>
        <w:rPr>
          <w:rFonts w:hint="eastAsia" w:ascii="仿宋_GB2312" w:hAnsi="仿宋_GB2312" w:eastAsia="仿宋_GB2312" w:cs="仿宋_GB2312"/>
          <w:sz w:val="28"/>
          <w:szCs w:val="28"/>
          <w:highlight w:val="none"/>
          <w:lang w:val="en-US" w:eastAsia="zh-CN"/>
        </w:rPr>
        <w:t>为落实“过紧日子”要求，压减了经费支出。</w:t>
      </w:r>
    </w:p>
    <w:p>
      <w:pPr>
        <w:tabs>
          <w:tab w:val="center" w:pos="6979"/>
        </w:tabs>
        <w:spacing w:line="580" w:lineRule="exact"/>
        <w:ind w:firstLine="548" w:firstLineChars="196"/>
        <w:rPr>
          <w:rFonts w:hint="eastAsia" w:ascii="黑体" w:eastAsia="黑体"/>
          <w:b/>
          <w:sz w:val="28"/>
          <w:szCs w:val="28"/>
          <w:highlight w:val="none"/>
        </w:rPr>
      </w:pPr>
      <w:r>
        <w:rPr>
          <w:rFonts w:hint="eastAsia" w:ascii="黑体" w:eastAsia="黑体"/>
          <w:b/>
          <w:sz w:val="28"/>
          <w:szCs w:val="28"/>
          <w:highlight w:val="none"/>
        </w:rPr>
        <w:t>四、一般公共预算财政拨款支出决算情况说明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（一）一般公共预算财政拨款支出决算总体情况</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2024</w:t>
      </w:r>
      <w:r>
        <w:rPr>
          <w:rFonts w:hint="eastAsia" w:ascii="仿宋_GB2312" w:hAnsi="仿宋_GB2312" w:eastAsia="仿宋_GB2312" w:cs="仿宋_GB2312"/>
          <w:sz w:val="28"/>
          <w:szCs w:val="28"/>
          <w:highlight w:val="none"/>
        </w:rPr>
        <w:t>年度一般公共预算财政拨款支出</w:t>
      </w:r>
      <w:r>
        <w:rPr>
          <w:rFonts w:hint="eastAsia" w:ascii="仿宋_GB2312" w:eastAsia="仿宋_GB2312"/>
          <w:sz w:val="28"/>
          <w:szCs w:val="28"/>
          <w:highlight w:val="none"/>
        </w:rPr>
        <w:t>2</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247</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rPr>
        <w:t>194.85</w:t>
      </w:r>
      <w:r>
        <w:rPr>
          <w:rFonts w:hint="eastAsia" w:ascii="仿宋_GB2312" w:hAnsi="仿宋_GB2312" w:eastAsia="仿宋_GB2312" w:cs="仿宋_GB2312"/>
          <w:sz w:val="28"/>
          <w:szCs w:val="28"/>
          <w:highlight w:val="none"/>
        </w:rPr>
        <w:t>元，主要用于以下方面（按大类）：一般公共服务支出1</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rPr>
        <w:t>565</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rPr>
        <w:t>812.65元，占本年财政拨款支出</w:t>
      </w:r>
      <w:r>
        <w:rPr>
          <w:rFonts w:hint="eastAsia" w:ascii="仿宋_GB2312" w:hAnsi="仿宋_GB2312" w:eastAsia="仿宋_GB2312" w:cs="仿宋_GB2312"/>
          <w:sz w:val="28"/>
          <w:szCs w:val="28"/>
          <w:highlight w:val="none"/>
          <w:lang w:val="en-US" w:eastAsia="zh-CN"/>
        </w:rPr>
        <w:t>69.7%</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社会保障和就业支出225</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lang w:val="en-US" w:eastAsia="zh-CN"/>
        </w:rPr>
        <w:t>000.00</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10.1%；卫生健康支出156</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lang w:val="en-US" w:eastAsia="zh-CN"/>
        </w:rPr>
        <w:t>243.60</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6.9%</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住房保障支出300</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lang w:val="en-US" w:eastAsia="zh-CN"/>
        </w:rPr>
        <w:t>138.60</w:t>
      </w:r>
      <w:r>
        <w:rPr>
          <w:rFonts w:hint="eastAsia" w:ascii="仿宋_GB2312" w:hAnsi="仿宋_GB2312" w:eastAsia="仿宋_GB2312" w:cs="仿宋_GB2312"/>
          <w:sz w:val="28"/>
          <w:szCs w:val="28"/>
          <w:highlight w:val="none"/>
        </w:rPr>
        <w:t>元，占本年财政拨款支出</w:t>
      </w:r>
      <w:r>
        <w:rPr>
          <w:rFonts w:hint="eastAsia" w:ascii="仿宋_GB2312" w:hAnsi="仿宋_GB2312" w:eastAsia="仿宋_GB2312" w:cs="仿宋_GB2312"/>
          <w:sz w:val="28"/>
          <w:szCs w:val="28"/>
          <w:highlight w:val="none"/>
          <w:lang w:val="en-US" w:eastAsia="zh-CN"/>
        </w:rPr>
        <w:t>13.3%</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楷体_GB2312" w:hAnsi="楷体_GB2312" w:eastAsia="楷体_GB2312" w:cs="楷体_GB2312"/>
          <w:sz w:val="28"/>
          <w:szCs w:val="28"/>
          <w:highlight w:val="none"/>
          <w:shd w:val="clear" w:color="auto" w:fill="auto"/>
        </w:rPr>
      </w:pPr>
      <w:r>
        <w:rPr>
          <w:rFonts w:hint="eastAsia" w:ascii="楷体_GB2312" w:hAnsi="楷体_GB2312" w:eastAsia="楷体_GB2312" w:cs="楷体_GB2312"/>
          <w:sz w:val="28"/>
          <w:szCs w:val="28"/>
          <w:highlight w:val="none"/>
          <w:shd w:val="clear" w:color="auto" w:fill="auto"/>
        </w:rPr>
        <w:t>一般公共预算财政拨款支出决算具体情况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1.一般公共服务支出（类）群众团体事务（款）事业运行（项）。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489</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407.45元，2024年度决算1</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243</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648.10元，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83.50%。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2.一般公共服务支出（类）群众团体事务（款）其他群众团体事务支出（项）。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2024年年初预算323</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000元，2024年度决算322</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164.55元，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99.74%。</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3.社会保障和就业支出（类）行政事业单位养老支出（款）机关事业单位基本养老保险缴费支出（项）。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2024年年初预算数191</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035.2元，2024年度决算150</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000.00元，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78.52%。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4.社会保障和就业支出（类）行政事业单位养老支出（款）机关事业单位职业年金缴费支出（项）。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2024年年初预算数95</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517.6元，2024年度决算75</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000.00元，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78.52%。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5.卫生健康支出（类）行政事业单位医疗（款）行政单位医疗（项）。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auto"/>
          <w:kern w:val="0"/>
          <w:sz w:val="28"/>
          <w:szCs w:val="28"/>
          <w:highlight w:val="none"/>
          <w:u w:val="none"/>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2024年度决算156</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243.6元，</w:t>
      </w: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2024年年初预算数</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156</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243.6元</w:t>
      </w: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6.住房保障支出（类）住房改革支出（款）住房公积金（项）。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2024年度决算156</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243.60元，</w:t>
      </w: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2024年年初预算数</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156</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243.60元</w:t>
      </w:r>
      <w:r>
        <w:rPr>
          <w:rFonts w:hint="eastAsia" w:ascii="仿宋_GB2312" w:hAnsi="仿宋_GB2312" w:eastAsia="仿宋_GB2312" w:cs="仿宋_GB2312"/>
          <w:b w:val="0"/>
          <w:bCs w:val="0"/>
          <w:i w:val="0"/>
          <w:iCs w:val="0"/>
          <w:color w:val="auto"/>
          <w:kern w:val="0"/>
          <w:sz w:val="28"/>
          <w:szCs w:val="28"/>
          <w:highlight w:val="none"/>
          <w:u w:val="none"/>
          <w:lang w:val="en-US" w:eastAsia="zh-CN" w:bidi="ar"/>
        </w:rPr>
        <w:t>，</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7.住房保障支出（类）住房改革支出（款）购房补贴（项）。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center"/>
        <w:rPr>
          <w:rFonts w:hint="default"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pP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2024年年初预算175</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488元，2024年度决算143</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b w:val="0"/>
          <w:bCs w:val="0"/>
          <w:i w:val="0"/>
          <w:iCs w:val="0"/>
          <w:color w:val="000000"/>
          <w:kern w:val="0"/>
          <w:sz w:val="28"/>
          <w:szCs w:val="28"/>
          <w:highlight w:val="none"/>
          <w:u w:val="none"/>
          <w:shd w:val="clear" w:color="auto" w:fill="auto"/>
          <w:lang w:val="en-US" w:eastAsia="zh-CN" w:bidi="ar"/>
        </w:rPr>
        <w:t>895.00元，完成年初预算的82%。</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outlineLvl w:val="1"/>
        <w:rPr>
          <w:rFonts w:hint="eastAsia" w:ascii="黑体" w:hAnsi="黑体" w:eastAsia="黑体" w:cs="黑体"/>
          <w:b w:val="0"/>
          <w:bCs/>
          <w:sz w:val="28"/>
          <w:szCs w:val="28"/>
          <w:highlight w:val="none"/>
          <w:shd w:val="clear" w:color="auto" w:fill="auto"/>
        </w:rPr>
      </w:pPr>
      <w:r>
        <w:rPr>
          <w:rFonts w:hint="eastAsia" w:ascii="黑体" w:hAnsi="黑体" w:eastAsia="黑体" w:cs="黑体"/>
          <w:b w:val="0"/>
          <w:bCs/>
          <w:sz w:val="28"/>
          <w:szCs w:val="28"/>
          <w:highlight w:val="none"/>
          <w:shd w:val="clear" w:color="auto" w:fill="auto"/>
        </w:rPr>
        <w:t>五、政府性基金预算财政拨款支出决算情况说明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年度政府性基金预算财政拨款支出0元。</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outlineLvl w:val="1"/>
        <w:rPr>
          <w:rFonts w:hint="eastAsia" w:ascii="黑体" w:hAnsi="黑体" w:eastAsia="黑体" w:cs="黑体"/>
          <w:b w:val="0"/>
          <w:bCs/>
          <w:sz w:val="28"/>
          <w:szCs w:val="28"/>
          <w:highlight w:val="none"/>
          <w:shd w:val="clear" w:color="auto" w:fill="auto"/>
        </w:rPr>
      </w:pPr>
      <w:bookmarkStart w:id="0" w:name="_Toc27211"/>
      <w:r>
        <w:rPr>
          <w:rFonts w:hint="eastAsia" w:ascii="黑体" w:hAnsi="黑体" w:eastAsia="黑体" w:cs="黑体"/>
          <w:b w:val="0"/>
          <w:bCs/>
          <w:sz w:val="28"/>
          <w:szCs w:val="28"/>
          <w:highlight w:val="none"/>
          <w:shd w:val="clear" w:color="auto" w:fill="auto"/>
        </w:rPr>
        <w:t>六、国有资本经营预算财政拨款收支情况</w:t>
      </w:r>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color w:val="000000"/>
          <w:sz w:val="28"/>
          <w:szCs w:val="28"/>
          <w:highlight w:val="none"/>
          <w:shd w:val="clear" w:color="auto" w:fill="auto"/>
        </w:rPr>
        <w:t>本年度未安排国有资本经营预算财政拨款收支。</w:t>
      </w:r>
    </w:p>
    <w:p>
      <w:pPr>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outlineLvl w:val="1"/>
        <w:rPr>
          <w:rFonts w:hint="default" w:ascii="黑体" w:hAnsi="黑体" w:eastAsia="黑体" w:cs="黑体"/>
          <w:b w:val="0"/>
          <w:bCs/>
          <w:sz w:val="28"/>
          <w:szCs w:val="28"/>
          <w:highlight w:val="none"/>
          <w:shd w:val="clear" w:color="auto" w:fill="auto"/>
          <w:lang w:val="en-US" w:eastAsia="zh-CN"/>
        </w:rPr>
      </w:pPr>
      <w:bookmarkStart w:id="1" w:name="_Toc533"/>
      <w:r>
        <w:rPr>
          <w:rFonts w:hint="eastAsia" w:ascii="黑体" w:hAnsi="黑体" w:eastAsia="黑体" w:cs="黑体"/>
          <w:b w:val="0"/>
          <w:bCs/>
          <w:sz w:val="28"/>
          <w:szCs w:val="28"/>
          <w:highlight w:val="none"/>
          <w:shd w:val="clear" w:color="auto" w:fill="auto"/>
        </w:rPr>
        <w:t>七、财政拨款基本支出决算情况说明</w:t>
      </w:r>
      <w:bookmarkEnd w:id="1"/>
      <w:r>
        <w:rPr>
          <w:rFonts w:hint="eastAsia" w:ascii="黑体" w:hAnsi="黑体" w:eastAsia="黑体" w:cs="黑体"/>
          <w:b w:val="0"/>
          <w:bCs/>
          <w:sz w:val="28"/>
          <w:szCs w:val="28"/>
          <w:highlight w:val="none"/>
          <w:shd w:val="clear" w:color="auto" w:fill="auto"/>
          <w:lang w:val="en-US" w:eastAsia="zh-CN"/>
        </w:rPr>
        <w:tab/>
      </w:r>
      <w:r>
        <w:rPr>
          <w:rFonts w:hint="eastAsia" w:ascii="黑体" w:hAnsi="黑体" w:eastAsia="黑体" w:cs="黑体"/>
          <w:b w:val="0"/>
          <w:bCs/>
          <w:sz w:val="28"/>
          <w:szCs w:val="28"/>
          <w:highlight w:val="none"/>
          <w:shd w:val="clear" w:color="auto" w:fill="auto"/>
          <w:lang w:val="en-US" w:eastAsia="zh-CN"/>
        </w:rPr>
        <w:tab/>
      </w:r>
      <w:r>
        <w:rPr>
          <w:rFonts w:hint="eastAsia" w:ascii="黑体" w:hAnsi="黑体" w:eastAsia="黑体" w:cs="黑体"/>
          <w:b w:val="0"/>
          <w:bCs/>
          <w:sz w:val="28"/>
          <w:szCs w:val="28"/>
          <w:highlight w:val="none"/>
          <w:shd w:val="clear" w:color="auto" w:fill="auto"/>
          <w:lang w:val="en-US" w:eastAsia="zh-CN"/>
        </w:rPr>
        <w:tab/>
      </w:r>
      <w:r>
        <w:rPr>
          <w:rFonts w:hint="eastAsia" w:ascii="黑体" w:hAnsi="黑体" w:eastAsia="黑体" w:cs="黑体"/>
          <w:b w:val="0"/>
          <w:bCs/>
          <w:sz w:val="28"/>
          <w:szCs w:val="28"/>
          <w:highlight w:val="none"/>
          <w:shd w:val="clear" w:color="auto" w:fill="auto"/>
          <w:lang w:val="en-US" w:eastAsia="zh-CN"/>
        </w:rPr>
        <w:tab/>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48" w:firstLineChars="196"/>
        <w:textAlignment w:val="auto"/>
        <w:rPr>
          <w:rFonts w:hint="eastAsia" w:ascii="仿宋_GB2312" w:hAnsi="仿宋_GB2312" w:eastAsia="仿宋_GB2312" w:cs="仿宋_GB2312"/>
          <w:b/>
          <w:spacing w:val="40"/>
          <w:sz w:val="28"/>
          <w:szCs w:val="28"/>
          <w:highlight w:val="none"/>
          <w:shd w:val="clear" w:color="auto" w:fill="auto"/>
        </w:rPr>
      </w:pP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年度使用一般公共预算财政拨款安排基本支出</w:t>
      </w:r>
      <w:r>
        <w:rPr>
          <w:rFonts w:hint="eastAsia" w:ascii="仿宋_GB2312" w:hAnsi="仿宋_GB2312" w:eastAsia="仿宋_GB2312" w:cs="仿宋_GB2312"/>
          <w:sz w:val="28"/>
          <w:szCs w:val="28"/>
          <w:highlight w:val="none"/>
          <w:shd w:val="clear" w:color="auto" w:fill="auto"/>
          <w:lang w:val="en-US" w:eastAsia="zh-CN"/>
        </w:rPr>
        <w:t>1</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shd w:val="clear" w:color="auto" w:fill="auto"/>
          <w:lang w:val="en-US" w:eastAsia="zh-CN"/>
        </w:rPr>
        <w:t>924</w:t>
      </w:r>
      <w:r>
        <w:rPr>
          <w:rFonts w:hint="eastAsia" w:ascii="仿宋_GB2312" w:hAnsi="Times New Roman" w:eastAsia="仿宋_GB2312" w:cs="Times New Roman"/>
          <w:sz w:val="28"/>
          <w:szCs w:val="28"/>
          <w:highlight w:val="none"/>
          <w:lang w:val="en-US" w:eastAsia="zh-CN"/>
        </w:rPr>
        <w:t>,</w:t>
      </w:r>
      <w:r>
        <w:rPr>
          <w:rFonts w:hint="eastAsia" w:ascii="仿宋_GB2312" w:hAnsi="仿宋_GB2312" w:eastAsia="仿宋_GB2312" w:cs="仿宋_GB2312"/>
          <w:sz w:val="28"/>
          <w:szCs w:val="28"/>
          <w:highlight w:val="none"/>
          <w:shd w:val="clear" w:color="auto" w:fill="auto"/>
          <w:lang w:val="en-US" w:eastAsia="zh-CN"/>
        </w:rPr>
        <w:t>030.3</w:t>
      </w:r>
      <w:r>
        <w:rPr>
          <w:rFonts w:hint="eastAsia" w:ascii="仿宋_GB2312" w:hAnsi="仿宋_GB2312" w:eastAsia="仿宋_GB2312" w:cs="仿宋_GB2312"/>
          <w:sz w:val="28"/>
          <w:szCs w:val="28"/>
          <w:highlight w:val="none"/>
          <w:shd w:val="clear" w:color="auto" w:fill="auto"/>
        </w:rPr>
        <w:t>元，使用政府性基金财政拨款安排基本支出0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pPr>
        <w:tabs>
          <w:tab w:val="center" w:pos="6979"/>
        </w:tabs>
        <w:jc w:val="center"/>
        <w:rPr>
          <w:rFonts w:hint="eastAsia" w:ascii="宋体" w:hAnsi="宋体" w:eastAsia="宋体" w:cs="宋体"/>
          <w:b/>
          <w:bCs/>
          <w:spacing w:val="40"/>
          <w:kern w:val="0"/>
          <w:sz w:val="32"/>
          <w:szCs w:val="32"/>
        </w:rPr>
      </w:pPr>
      <w:r>
        <w:rPr>
          <w:rFonts w:ascii="仿宋_GB2312" w:eastAsia="仿宋_GB2312"/>
          <w:sz w:val="28"/>
          <w:szCs w:val="28"/>
          <w:highlight w:val="none"/>
          <w:shd w:val="clear" w:color="FFFFFF" w:fill="D9D9D9"/>
        </w:rPr>
        <w:br w:type="page"/>
      </w:r>
      <w:r>
        <w:rPr>
          <w:rFonts w:hint="eastAsia" w:ascii="宋体" w:hAnsi="宋体" w:eastAsia="宋体" w:cs="宋体"/>
          <w:b/>
          <w:bCs/>
          <w:spacing w:val="40"/>
          <w:kern w:val="0"/>
          <w:sz w:val="32"/>
          <w:szCs w:val="32"/>
        </w:rPr>
        <w:t>第三部分</w:t>
      </w:r>
      <w:r>
        <w:rPr>
          <w:rFonts w:hint="eastAsia" w:ascii="宋体" w:hAnsi="宋体" w:eastAsia="宋体" w:cs="宋体"/>
          <w:b/>
          <w:bCs/>
          <w:spacing w:val="40"/>
          <w:kern w:val="0"/>
          <w:sz w:val="32"/>
          <w:szCs w:val="32"/>
          <w:lang w:val="en-US" w:eastAsia="zh-CN"/>
        </w:rPr>
        <w:t xml:space="preserve">  </w:t>
      </w:r>
      <w:r>
        <w:rPr>
          <w:rFonts w:hint="eastAsia" w:ascii="宋体" w:hAnsi="宋体" w:eastAsia="宋体" w:cs="宋体"/>
          <w:b/>
          <w:bCs/>
          <w:spacing w:val="40"/>
          <w:kern w:val="0"/>
          <w:sz w:val="32"/>
          <w:szCs w:val="32"/>
          <w:lang w:eastAsia="zh-CN"/>
        </w:rPr>
        <w:t>2024</w:t>
      </w:r>
      <w:r>
        <w:rPr>
          <w:rFonts w:hint="eastAsia" w:ascii="宋体" w:hAnsi="宋体" w:eastAsia="宋体" w:cs="宋体"/>
          <w:b/>
          <w:bCs/>
          <w:spacing w:val="40"/>
          <w:kern w:val="0"/>
          <w:sz w:val="32"/>
          <w:szCs w:val="32"/>
        </w:rPr>
        <w:t>年度其他重要事项的情况说明</w:t>
      </w:r>
    </w:p>
    <w:p>
      <w:pPr>
        <w:pageBreakBefore w:val="0"/>
        <w:numPr>
          <w:ilvl w:val="0"/>
          <w:numId w:val="2"/>
        </w:numPr>
        <w:kinsoku/>
        <w:wordWrap/>
        <w:overflowPunct/>
        <w:topLinePunct w:val="0"/>
        <w:bidi w:val="0"/>
        <w:snapToGrid/>
        <w:spacing w:line="560" w:lineRule="exact"/>
        <w:ind w:firstLine="560" w:firstLineChars="200"/>
        <w:outlineLvl w:val="1"/>
        <w:rPr>
          <w:rFonts w:hint="eastAsia" w:ascii="黑体" w:eastAsia="黑体"/>
          <w:sz w:val="28"/>
          <w:szCs w:val="28"/>
          <w:highlight w:val="none"/>
          <w:shd w:val="clear" w:color="auto" w:fill="auto"/>
        </w:rPr>
      </w:pPr>
      <w:bookmarkStart w:id="2" w:name="_Toc3281"/>
      <w:r>
        <w:rPr>
          <w:rFonts w:hint="eastAsia" w:ascii="黑体" w:eastAsia="黑体"/>
          <w:sz w:val="28"/>
          <w:szCs w:val="28"/>
          <w:highlight w:val="none"/>
          <w:shd w:val="clear" w:color="auto" w:fill="auto"/>
        </w:rPr>
        <w:t>“三公”经费财政拨款决算情况</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年度“三公”经费财政拨款决算数0元，</w:t>
      </w:r>
      <w:r>
        <w:rPr>
          <w:rFonts w:hint="eastAsia" w:ascii="仿宋_GB2312" w:hAnsi="仿宋_GB2312" w:eastAsia="仿宋_GB2312" w:cs="仿宋_GB2312"/>
          <w:sz w:val="28"/>
          <w:szCs w:val="28"/>
          <w:highlight w:val="none"/>
          <w:shd w:val="clear" w:color="auto" w:fill="auto"/>
          <w:lang w:eastAsia="zh-CN"/>
        </w:rPr>
        <w:t>与2024</w:t>
      </w:r>
      <w:r>
        <w:rPr>
          <w:rFonts w:hint="eastAsia" w:ascii="仿宋_GB2312" w:hAnsi="仿宋_GB2312" w:eastAsia="仿宋_GB2312" w:cs="仿宋_GB2312"/>
          <w:sz w:val="28"/>
          <w:szCs w:val="28"/>
          <w:highlight w:val="none"/>
          <w:shd w:val="clear" w:color="auto" w:fill="auto"/>
        </w:rPr>
        <w:t>年度“三公”经费财政拨款年初预算</w:t>
      </w:r>
      <w:r>
        <w:rPr>
          <w:rFonts w:hint="eastAsia" w:ascii="仿宋_GB2312" w:hAnsi="仿宋_GB2312" w:eastAsia="仿宋_GB2312" w:cs="仿宋_GB2312"/>
          <w:sz w:val="28"/>
          <w:szCs w:val="28"/>
          <w:highlight w:val="none"/>
          <w:shd w:val="clear" w:color="auto" w:fill="auto"/>
          <w:lang w:eastAsia="zh-CN"/>
        </w:rPr>
        <w:t>一致</w:t>
      </w:r>
      <w:r>
        <w:rPr>
          <w:rFonts w:hint="eastAsia" w:ascii="仿宋_GB2312" w:hAnsi="仿宋_GB2312" w:eastAsia="仿宋_GB2312" w:cs="仿宋_GB2312"/>
          <w:sz w:val="28"/>
          <w:szCs w:val="28"/>
          <w:highlight w:val="none"/>
          <w:shd w:val="clear" w:color="auto" w:fill="auto"/>
        </w:rPr>
        <w:t>。其中：</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sz w:val="28"/>
          <w:szCs w:val="28"/>
          <w:highlight w:val="none"/>
          <w:shd w:val="clear" w:color="auto" w:fill="auto"/>
        </w:rPr>
        <w:t>1.因公出国（境）费用。</w:t>
      </w: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年度决算数0元，</w:t>
      </w:r>
      <w:r>
        <w:rPr>
          <w:rFonts w:hint="eastAsia" w:ascii="仿宋_GB2312" w:hAnsi="仿宋_GB2312" w:eastAsia="仿宋_GB2312" w:cs="仿宋_GB2312"/>
          <w:sz w:val="28"/>
          <w:szCs w:val="28"/>
          <w:highlight w:val="none"/>
          <w:shd w:val="clear" w:color="auto" w:fill="auto"/>
          <w:lang w:eastAsia="zh-CN"/>
        </w:rPr>
        <w:t>与2024</w:t>
      </w:r>
      <w:r>
        <w:rPr>
          <w:rFonts w:hint="eastAsia" w:ascii="仿宋_GB2312" w:hAnsi="仿宋_GB2312" w:eastAsia="仿宋_GB2312" w:cs="仿宋_GB2312"/>
          <w:sz w:val="28"/>
          <w:szCs w:val="28"/>
          <w:highlight w:val="none"/>
          <w:shd w:val="clear" w:color="auto" w:fill="auto"/>
        </w:rPr>
        <w:t>年度年初预算数</w:t>
      </w:r>
      <w:r>
        <w:rPr>
          <w:rFonts w:hint="eastAsia" w:ascii="仿宋_GB2312" w:hAnsi="仿宋_GB2312" w:eastAsia="仿宋_GB2312" w:cs="仿宋_GB2312"/>
          <w:sz w:val="28"/>
          <w:szCs w:val="28"/>
          <w:highlight w:val="none"/>
          <w:shd w:val="clear" w:color="auto" w:fill="auto"/>
          <w:lang w:eastAsia="zh-CN"/>
        </w:rPr>
        <w:t>一致</w:t>
      </w:r>
      <w:r>
        <w:rPr>
          <w:rFonts w:hint="eastAsia" w:ascii="仿宋_GB2312" w:hAnsi="仿宋_GB2312" w:eastAsia="仿宋_GB2312" w:cs="仿宋_GB2312"/>
          <w:sz w:val="28"/>
          <w:szCs w:val="28"/>
          <w:highlight w:val="none"/>
          <w:shd w:val="clear" w:color="auto" w:fill="auto"/>
        </w:rPr>
        <w:t>，主要原因：</w:t>
      </w:r>
      <w:r>
        <w:rPr>
          <w:rFonts w:hint="eastAsia" w:ascii="仿宋_GB2312" w:hAnsi="仿宋_GB2312" w:eastAsia="仿宋_GB2312" w:cs="仿宋_GB2312"/>
          <w:sz w:val="28"/>
          <w:szCs w:val="28"/>
          <w:highlight w:val="none"/>
          <w:shd w:val="clear" w:color="auto" w:fill="auto"/>
          <w:lang w:eastAsia="zh-CN"/>
        </w:rPr>
        <w:t>落实过紧日子要求，未安排</w:t>
      </w:r>
      <w:r>
        <w:rPr>
          <w:rFonts w:hint="eastAsia" w:ascii="仿宋_GB2312" w:hAnsi="仿宋_GB2312" w:eastAsia="仿宋_GB2312" w:cs="仿宋_GB2312"/>
          <w:sz w:val="28"/>
          <w:szCs w:val="28"/>
          <w:highlight w:val="none"/>
          <w:shd w:val="clear" w:color="auto" w:fill="auto"/>
        </w:rPr>
        <w:t>因公出国（境）。</w:t>
      </w: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年度组织因公出国（境）团组</w:t>
      </w:r>
      <w:r>
        <w:rPr>
          <w:rFonts w:hint="eastAsia" w:ascii="仿宋_GB2312" w:hAnsi="仿宋_GB2312" w:eastAsia="仿宋_GB2312" w:cs="仿宋_GB2312"/>
          <w:sz w:val="28"/>
          <w:szCs w:val="28"/>
          <w:highlight w:val="none"/>
          <w:shd w:val="clear" w:color="auto" w:fill="auto"/>
          <w:lang w:val="en-US" w:eastAsia="zh-CN"/>
        </w:rPr>
        <w:t>0</w:t>
      </w:r>
      <w:r>
        <w:rPr>
          <w:rFonts w:hint="eastAsia" w:ascii="仿宋_GB2312" w:hAnsi="仿宋_GB2312" w:eastAsia="仿宋_GB2312" w:cs="仿宋_GB2312"/>
          <w:sz w:val="28"/>
          <w:szCs w:val="28"/>
          <w:highlight w:val="none"/>
          <w:shd w:val="clear" w:color="auto" w:fill="auto"/>
        </w:rPr>
        <w:t>个、</w:t>
      </w:r>
      <w:r>
        <w:rPr>
          <w:rFonts w:hint="eastAsia" w:ascii="仿宋_GB2312" w:hAnsi="仿宋_GB2312" w:eastAsia="仿宋_GB2312" w:cs="仿宋_GB2312"/>
          <w:sz w:val="28"/>
          <w:szCs w:val="28"/>
          <w:highlight w:val="none"/>
          <w:shd w:val="clear" w:color="auto" w:fill="auto"/>
          <w:lang w:val="en-US" w:eastAsia="zh-CN"/>
        </w:rPr>
        <w:t>0</w:t>
      </w:r>
      <w:r>
        <w:rPr>
          <w:rFonts w:hint="eastAsia" w:ascii="仿宋_GB2312" w:hAnsi="仿宋_GB2312" w:eastAsia="仿宋_GB2312" w:cs="仿宋_GB2312"/>
          <w:sz w:val="28"/>
          <w:szCs w:val="28"/>
          <w:highlight w:val="none"/>
          <w:shd w:val="clear" w:color="auto" w:fill="auto"/>
        </w:rPr>
        <w:t>人次，人均因公出国（境）费用</w:t>
      </w:r>
      <w:r>
        <w:rPr>
          <w:rFonts w:hint="eastAsia" w:ascii="仿宋_GB2312" w:hAnsi="仿宋_GB2312" w:eastAsia="仿宋_GB2312" w:cs="仿宋_GB2312"/>
          <w:sz w:val="28"/>
          <w:szCs w:val="28"/>
          <w:highlight w:val="none"/>
          <w:shd w:val="clear" w:color="auto" w:fill="auto"/>
          <w:lang w:val="en-US" w:eastAsia="zh-CN"/>
        </w:rPr>
        <w:t>0</w:t>
      </w:r>
      <w:r>
        <w:rPr>
          <w:rFonts w:hint="eastAsia" w:ascii="仿宋_GB2312" w:hAnsi="仿宋_GB2312" w:eastAsia="仿宋_GB2312" w:cs="仿宋_GB2312"/>
          <w:sz w:val="28"/>
          <w:szCs w:val="28"/>
          <w:highlight w:val="none"/>
          <w:shd w:val="clear" w:color="auto" w:fill="auto"/>
        </w:rPr>
        <w:t>元。</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sz w:val="28"/>
          <w:szCs w:val="28"/>
          <w:highlight w:val="none"/>
          <w:shd w:val="clear" w:color="auto" w:fill="auto"/>
        </w:rPr>
        <w:t>2.公务接待费。</w:t>
      </w: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年度决算数0元，</w:t>
      </w:r>
      <w:r>
        <w:rPr>
          <w:rFonts w:hint="eastAsia" w:ascii="仿宋_GB2312" w:hAnsi="仿宋_GB2312" w:eastAsia="仿宋_GB2312" w:cs="仿宋_GB2312"/>
          <w:sz w:val="28"/>
          <w:szCs w:val="28"/>
          <w:highlight w:val="none"/>
          <w:shd w:val="clear" w:color="auto" w:fill="auto"/>
          <w:lang w:eastAsia="zh-CN"/>
        </w:rPr>
        <w:t>与2024</w:t>
      </w:r>
      <w:r>
        <w:rPr>
          <w:rFonts w:hint="eastAsia" w:ascii="仿宋_GB2312" w:hAnsi="仿宋_GB2312" w:eastAsia="仿宋_GB2312" w:cs="仿宋_GB2312"/>
          <w:sz w:val="28"/>
          <w:szCs w:val="28"/>
          <w:highlight w:val="none"/>
          <w:shd w:val="clear" w:color="auto" w:fill="auto"/>
        </w:rPr>
        <w:t>年度年初预算数</w:t>
      </w:r>
      <w:r>
        <w:rPr>
          <w:rFonts w:hint="eastAsia" w:ascii="仿宋_GB2312" w:hAnsi="仿宋_GB2312" w:eastAsia="仿宋_GB2312" w:cs="仿宋_GB2312"/>
          <w:sz w:val="28"/>
          <w:szCs w:val="28"/>
          <w:highlight w:val="none"/>
          <w:shd w:val="clear" w:color="auto" w:fill="auto"/>
          <w:lang w:eastAsia="zh-CN"/>
        </w:rPr>
        <w:t>一致</w:t>
      </w:r>
      <w:r>
        <w:rPr>
          <w:rFonts w:hint="eastAsia" w:ascii="仿宋_GB2312" w:hAnsi="仿宋_GB2312" w:eastAsia="仿宋_GB2312" w:cs="仿宋_GB2312"/>
          <w:sz w:val="28"/>
          <w:szCs w:val="28"/>
          <w:highlight w:val="none"/>
          <w:shd w:val="clear" w:color="auto" w:fill="auto"/>
        </w:rPr>
        <w:t>，主要原因：</w:t>
      </w:r>
      <w:r>
        <w:rPr>
          <w:rFonts w:hint="eastAsia" w:ascii="仿宋_GB2312" w:hAnsi="仿宋_GB2312" w:eastAsia="仿宋_GB2312" w:cs="仿宋_GB2312"/>
          <w:sz w:val="28"/>
          <w:szCs w:val="28"/>
          <w:highlight w:val="none"/>
          <w:shd w:val="clear" w:color="auto" w:fill="auto"/>
          <w:lang w:eastAsia="zh-CN"/>
        </w:rPr>
        <w:t>落实过紧日子要求，未安排公务接待</w:t>
      </w:r>
      <w:r>
        <w:rPr>
          <w:rFonts w:hint="eastAsia" w:ascii="仿宋_GB2312" w:hAnsi="仿宋_GB2312" w:eastAsia="仿宋_GB2312" w:cs="仿宋_GB2312"/>
          <w:sz w:val="28"/>
          <w:szCs w:val="28"/>
          <w:highlight w:val="none"/>
          <w:shd w:val="clear" w:color="auto" w:fill="auto"/>
        </w:rPr>
        <w:t>。公务接待</w:t>
      </w:r>
      <w:r>
        <w:rPr>
          <w:rFonts w:hint="eastAsia" w:ascii="仿宋_GB2312" w:hAnsi="仿宋_GB2312" w:eastAsia="仿宋_GB2312" w:cs="仿宋_GB2312"/>
          <w:sz w:val="28"/>
          <w:szCs w:val="28"/>
          <w:highlight w:val="none"/>
          <w:shd w:val="clear" w:color="auto" w:fill="auto"/>
          <w:lang w:val="en-US" w:eastAsia="zh-CN"/>
        </w:rPr>
        <w:t>0</w:t>
      </w:r>
      <w:r>
        <w:rPr>
          <w:rFonts w:hint="eastAsia" w:ascii="仿宋_GB2312" w:hAnsi="仿宋_GB2312" w:eastAsia="仿宋_GB2312" w:cs="仿宋_GB2312"/>
          <w:sz w:val="28"/>
          <w:szCs w:val="28"/>
          <w:highlight w:val="none"/>
          <w:shd w:val="clear" w:color="auto" w:fill="auto"/>
        </w:rPr>
        <w:t>批次，公务接待</w:t>
      </w:r>
      <w:r>
        <w:rPr>
          <w:rFonts w:hint="eastAsia" w:ascii="仿宋_GB2312" w:hAnsi="仿宋_GB2312" w:eastAsia="仿宋_GB2312" w:cs="仿宋_GB2312"/>
          <w:sz w:val="28"/>
          <w:szCs w:val="28"/>
          <w:highlight w:val="none"/>
          <w:shd w:val="clear" w:color="auto" w:fill="auto"/>
          <w:lang w:val="en-US" w:eastAsia="zh-CN"/>
        </w:rPr>
        <w:t>0</w:t>
      </w:r>
      <w:r>
        <w:rPr>
          <w:rFonts w:hint="eastAsia" w:ascii="仿宋_GB2312" w:hAnsi="仿宋_GB2312" w:eastAsia="仿宋_GB2312" w:cs="仿宋_GB2312"/>
          <w:sz w:val="28"/>
          <w:szCs w:val="28"/>
          <w:highlight w:val="none"/>
          <w:shd w:val="clear" w:color="auto" w:fill="auto"/>
        </w:rPr>
        <w:t>人次。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sz w:val="28"/>
          <w:szCs w:val="28"/>
          <w:highlight w:val="none"/>
          <w:shd w:val="clear" w:color="auto" w:fill="auto"/>
        </w:rPr>
        <w:t>3.公务用车购置及运行维护费。</w:t>
      </w: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年度决算数0万元，</w:t>
      </w:r>
      <w:r>
        <w:rPr>
          <w:rFonts w:hint="eastAsia" w:ascii="仿宋_GB2312" w:hAnsi="仿宋_GB2312" w:eastAsia="仿宋_GB2312" w:cs="仿宋_GB2312"/>
          <w:sz w:val="28"/>
          <w:szCs w:val="28"/>
          <w:highlight w:val="none"/>
          <w:shd w:val="clear" w:color="auto" w:fill="auto"/>
          <w:lang w:eastAsia="zh-CN"/>
        </w:rPr>
        <w:t>与2024</w:t>
      </w:r>
      <w:r>
        <w:rPr>
          <w:rFonts w:hint="eastAsia" w:ascii="仿宋_GB2312" w:hAnsi="仿宋_GB2312" w:eastAsia="仿宋_GB2312" w:cs="仿宋_GB2312"/>
          <w:sz w:val="28"/>
          <w:szCs w:val="28"/>
          <w:highlight w:val="none"/>
          <w:shd w:val="clear" w:color="auto" w:fill="auto"/>
        </w:rPr>
        <w:t>年度年初预算数</w:t>
      </w:r>
      <w:r>
        <w:rPr>
          <w:rFonts w:hint="eastAsia" w:ascii="仿宋_GB2312" w:hAnsi="仿宋_GB2312" w:eastAsia="仿宋_GB2312" w:cs="仿宋_GB2312"/>
          <w:sz w:val="28"/>
          <w:szCs w:val="28"/>
          <w:highlight w:val="none"/>
          <w:shd w:val="clear" w:color="auto" w:fill="auto"/>
          <w:lang w:eastAsia="zh-CN"/>
        </w:rPr>
        <w:t>一致</w:t>
      </w:r>
      <w:r>
        <w:rPr>
          <w:rFonts w:hint="eastAsia" w:ascii="仿宋_GB2312" w:hAnsi="仿宋_GB2312" w:eastAsia="仿宋_GB2312" w:cs="仿宋_GB2312"/>
          <w:sz w:val="28"/>
          <w:szCs w:val="28"/>
          <w:highlight w:val="none"/>
          <w:shd w:val="clear" w:color="auto" w:fill="auto"/>
        </w:rPr>
        <w:t>。其中，公务用车购置费</w:t>
      </w: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年度决算数0元，主要原因：</w:t>
      </w:r>
      <w:r>
        <w:rPr>
          <w:rFonts w:hint="eastAsia" w:ascii="仿宋_GB2312" w:hAnsi="仿宋_GB2312" w:eastAsia="仿宋_GB2312" w:cs="仿宋_GB2312"/>
          <w:sz w:val="28"/>
          <w:szCs w:val="28"/>
          <w:highlight w:val="none"/>
          <w:shd w:val="clear" w:color="auto" w:fill="auto"/>
          <w:lang w:eastAsia="zh-CN"/>
        </w:rPr>
        <w:t>落实过紧日子要求，未购置公务用车</w:t>
      </w:r>
      <w:r>
        <w:rPr>
          <w:rFonts w:hint="eastAsia" w:ascii="仿宋_GB2312" w:hAnsi="仿宋_GB2312" w:eastAsia="仿宋_GB2312" w:cs="仿宋_GB2312"/>
          <w:sz w:val="28"/>
          <w:szCs w:val="28"/>
          <w:highlight w:val="none"/>
          <w:shd w:val="clear" w:color="auto" w:fill="auto"/>
        </w:rPr>
        <w:t>。</w:t>
      </w: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年度购置（更新）</w:t>
      </w:r>
      <w:r>
        <w:rPr>
          <w:rFonts w:hint="eastAsia" w:ascii="仿宋_GB2312" w:hAnsi="仿宋_GB2312" w:eastAsia="仿宋_GB2312" w:cs="仿宋_GB2312"/>
          <w:sz w:val="28"/>
          <w:szCs w:val="28"/>
          <w:highlight w:val="none"/>
          <w:shd w:val="clear" w:color="auto" w:fill="auto"/>
          <w:lang w:val="en-US" w:eastAsia="zh-CN"/>
        </w:rPr>
        <w:t>0</w:t>
      </w:r>
      <w:r>
        <w:rPr>
          <w:rFonts w:hint="eastAsia" w:ascii="仿宋_GB2312" w:hAnsi="仿宋_GB2312" w:eastAsia="仿宋_GB2312" w:cs="仿宋_GB2312"/>
          <w:sz w:val="28"/>
          <w:szCs w:val="28"/>
          <w:highlight w:val="none"/>
          <w:shd w:val="clear" w:color="auto" w:fill="auto"/>
        </w:rPr>
        <w:t>辆。公务用车运行维护费</w:t>
      </w: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年度决算数0元，主要原因：</w:t>
      </w:r>
      <w:r>
        <w:rPr>
          <w:rFonts w:hint="eastAsia" w:ascii="仿宋_GB2312" w:hAnsi="仿宋_GB2312" w:eastAsia="仿宋_GB2312" w:cs="仿宋_GB2312"/>
          <w:sz w:val="28"/>
          <w:szCs w:val="28"/>
          <w:highlight w:val="none"/>
          <w:shd w:val="clear" w:color="auto" w:fill="auto"/>
          <w:lang w:eastAsia="zh-CN"/>
        </w:rPr>
        <w:t>根据公车改革要求，公务用车由区统筹管理</w:t>
      </w:r>
      <w:r>
        <w:rPr>
          <w:rFonts w:hint="eastAsia" w:ascii="仿宋_GB2312" w:hAnsi="仿宋_GB2312" w:eastAsia="仿宋_GB2312" w:cs="仿宋_GB2312"/>
          <w:sz w:val="28"/>
          <w:szCs w:val="28"/>
          <w:highlight w:val="none"/>
          <w:shd w:val="clear" w:color="auto" w:fill="auto"/>
        </w:rPr>
        <w:t>。</w:t>
      </w:r>
      <w:r>
        <w:rPr>
          <w:rFonts w:hint="eastAsia" w:ascii="仿宋_GB2312" w:hAnsi="仿宋_GB2312" w:eastAsia="仿宋_GB2312" w:cs="仿宋_GB2312"/>
          <w:sz w:val="28"/>
          <w:szCs w:val="28"/>
          <w:highlight w:val="none"/>
          <w:shd w:val="clear" w:color="auto" w:fill="auto"/>
          <w:lang w:eastAsia="zh-CN"/>
        </w:rPr>
        <w:t>2024</w:t>
      </w:r>
      <w:r>
        <w:rPr>
          <w:rFonts w:hint="eastAsia" w:ascii="仿宋_GB2312" w:hAnsi="仿宋_GB2312" w:eastAsia="仿宋_GB2312" w:cs="仿宋_GB2312"/>
          <w:sz w:val="28"/>
          <w:szCs w:val="28"/>
          <w:highlight w:val="none"/>
          <w:shd w:val="clear" w:color="auto" w:fill="auto"/>
        </w:rPr>
        <w:t>年度公务用车保有量</w:t>
      </w:r>
      <w:r>
        <w:rPr>
          <w:rFonts w:hint="eastAsia" w:ascii="仿宋_GB2312" w:hAnsi="仿宋_GB2312" w:eastAsia="仿宋_GB2312" w:cs="仿宋_GB2312"/>
          <w:sz w:val="28"/>
          <w:szCs w:val="28"/>
          <w:highlight w:val="none"/>
          <w:shd w:val="clear" w:color="auto" w:fill="auto"/>
          <w:lang w:val="en-US" w:eastAsia="zh-CN"/>
        </w:rPr>
        <w:t>0</w:t>
      </w:r>
      <w:r>
        <w:rPr>
          <w:rFonts w:hint="eastAsia" w:ascii="仿宋_GB2312" w:hAnsi="仿宋_GB2312" w:eastAsia="仿宋_GB2312" w:cs="仿宋_GB2312"/>
          <w:sz w:val="28"/>
          <w:szCs w:val="28"/>
          <w:highlight w:val="none"/>
          <w:shd w:val="clear" w:color="auto" w:fill="auto"/>
        </w:rPr>
        <w:t>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ascii="仿宋_GB2312" w:eastAsia="仿宋_GB2312"/>
          <w:sz w:val="28"/>
          <w:szCs w:val="28"/>
          <w:highlight w:val="none"/>
          <w:shd w:val="clear" w:color="auto" w:fill="auto"/>
        </w:rPr>
        <w:t>本部门本年度未安排政府性基金财政拨款“三公”经费相关支出。</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54" w:firstLineChars="198"/>
        <w:textAlignment w:val="auto"/>
        <w:outlineLvl w:val="1"/>
        <w:rPr>
          <w:rFonts w:hint="eastAsia" w:ascii="黑体" w:eastAsia="黑体"/>
          <w:sz w:val="28"/>
          <w:szCs w:val="28"/>
        </w:rPr>
      </w:pPr>
      <w:bookmarkStart w:id="3" w:name="_Toc19779"/>
      <w:r>
        <w:rPr>
          <w:rFonts w:hint="eastAsia" w:ascii="黑体" w:eastAsia="黑体"/>
          <w:sz w:val="28"/>
          <w:szCs w:val="28"/>
        </w:rPr>
        <w:t>二、机关运行经费支出情况</w:t>
      </w:r>
    </w:p>
    <w:p>
      <w:pPr>
        <w:keepNext w:val="0"/>
        <w:keepLines w:val="0"/>
        <w:pageBreakBefore w:val="0"/>
        <w:widowControl w:val="0"/>
        <w:kinsoku/>
        <w:wordWrap/>
        <w:overflowPunct/>
        <w:topLinePunct w:val="0"/>
        <w:autoSpaceDE/>
        <w:autoSpaceDN/>
        <w:bidi w:val="0"/>
        <w:adjustRightInd/>
        <w:snapToGrid/>
        <w:spacing w:line="560" w:lineRule="exact"/>
        <w:ind w:firstLine="537" w:firstLineChars="192"/>
        <w:textAlignment w:val="auto"/>
        <w:rPr>
          <w:rFonts w:hint="eastAsia" w:eastAsia="仿宋_GB2312"/>
          <w:sz w:val="28"/>
          <w:szCs w:val="28"/>
        </w:rPr>
      </w:pPr>
      <w:r>
        <w:rPr>
          <w:rFonts w:hint="eastAsia" w:ascii="仿宋_GB2312" w:eastAsia="仿宋_GB2312"/>
          <w:sz w:val="28"/>
          <w:szCs w:val="28"/>
        </w:rPr>
        <w:t>本单位为全额拨款事业单位，不属于机关运行经费支出统计范围。</w:t>
      </w:r>
    </w:p>
    <w:p>
      <w:pPr>
        <w:keepNext w:val="0"/>
        <w:keepLines w:val="0"/>
        <w:pageBreakBefore w:val="0"/>
        <w:widowControl w:val="0"/>
        <w:kinsoku/>
        <w:wordWrap/>
        <w:overflowPunct/>
        <w:topLinePunct w:val="0"/>
        <w:autoSpaceDE/>
        <w:autoSpaceDN/>
        <w:bidi w:val="0"/>
        <w:adjustRightInd/>
        <w:snapToGrid/>
        <w:spacing w:line="560" w:lineRule="exact"/>
        <w:ind w:left="540"/>
        <w:textAlignment w:val="auto"/>
        <w:outlineLvl w:val="1"/>
        <w:rPr>
          <w:rFonts w:hint="eastAsia" w:ascii="黑体" w:eastAsia="黑体"/>
          <w:sz w:val="28"/>
          <w:szCs w:val="28"/>
          <w:highlight w:val="none"/>
          <w:shd w:val="clear" w:color="auto" w:fill="auto"/>
        </w:rPr>
      </w:pPr>
      <w:r>
        <w:rPr>
          <w:rFonts w:hint="eastAsia" w:ascii="黑体" w:eastAsia="黑体"/>
          <w:sz w:val="28"/>
          <w:szCs w:val="28"/>
          <w:highlight w:val="none"/>
          <w:shd w:val="clear" w:color="auto" w:fill="auto"/>
        </w:rPr>
        <w:t>三、政府采购支出情况</w:t>
      </w:r>
      <w:bookmarkEnd w:id="3"/>
    </w:p>
    <w:p>
      <w:pPr>
        <w:keepNext w:val="0"/>
        <w:keepLines w:val="0"/>
        <w:pageBreakBefore w:val="0"/>
        <w:widowControl w:val="0"/>
        <w:kinsoku/>
        <w:wordWrap/>
        <w:overflowPunct/>
        <w:topLinePunct w:val="0"/>
        <w:autoSpaceDE/>
        <w:autoSpaceDN/>
        <w:bidi w:val="0"/>
        <w:adjustRightInd/>
        <w:snapToGrid/>
        <w:spacing w:line="560" w:lineRule="exact"/>
        <w:ind w:firstLine="537" w:firstLineChars="192"/>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年度政府采购支出总额1</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rPr>
        <w:t>250.00元，其中：政府采购货物支出1</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rPr>
        <w:t>250.00元，政府采购工程支出</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元，政府采购服务支出0.00元。授予中小企业合同金额</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元，占政府采购支出总额的</w:t>
      </w:r>
      <w:r>
        <w:rPr>
          <w:rFonts w:ascii="仿宋_GB2312" w:eastAsia="仿宋_GB2312"/>
          <w:sz w:val="28"/>
          <w:szCs w:val="28"/>
          <w:highlight w:val="none"/>
          <w:shd w:val="clear" w:color="auto" w:fill="auto"/>
        </w:rPr>
        <w:t>100</w:t>
      </w:r>
      <w:r>
        <w:rPr>
          <w:rFonts w:hint="eastAsia" w:ascii="仿宋_GB2312" w:eastAsia="仿宋_GB2312"/>
          <w:sz w:val="28"/>
          <w:szCs w:val="28"/>
          <w:highlight w:val="none"/>
          <w:shd w:val="clear" w:color="auto" w:fill="auto"/>
        </w:rPr>
        <w:t>%，其中：授予小微企业合同金额1</w:t>
      </w:r>
      <w:r>
        <w:rPr>
          <w:rFonts w:hint="eastAsia" w:ascii="仿宋_GB2312" w:hAnsi="Times New Roman" w:eastAsia="仿宋_GB2312" w:cs="Times New Roman"/>
          <w:sz w:val="28"/>
          <w:szCs w:val="28"/>
          <w:highlight w:val="none"/>
          <w:lang w:val="en-US" w:eastAsia="zh-CN"/>
        </w:rPr>
        <w:t>,</w:t>
      </w:r>
      <w:r>
        <w:rPr>
          <w:rFonts w:hint="eastAsia" w:ascii="仿宋_GB2312" w:eastAsia="仿宋_GB2312"/>
          <w:sz w:val="28"/>
          <w:szCs w:val="28"/>
          <w:highlight w:val="none"/>
          <w:shd w:val="clear" w:color="auto" w:fill="auto"/>
        </w:rPr>
        <w:t>250.00元，占政府采购支出总额的</w:t>
      </w:r>
      <w:r>
        <w:rPr>
          <w:rFonts w:ascii="仿宋_GB2312" w:eastAsia="仿宋_GB2312"/>
          <w:sz w:val="28"/>
          <w:szCs w:val="28"/>
          <w:highlight w:val="none"/>
          <w:shd w:val="clear" w:color="auto" w:fill="auto"/>
        </w:rPr>
        <w:t>100</w:t>
      </w:r>
      <w:r>
        <w:rPr>
          <w:rFonts w:hint="eastAsia" w:ascii="仿宋_GB2312" w:eastAsia="仿宋_GB2312"/>
          <w:sz w:val="28"/>
          <w:szCs w:val="28"/>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eastAsia="黑体"/>
          <w:sz w:val="28"/>
          <w:szCs w:val="28"/>
          <w:highlight w:val="none"/>
          <w:shd w:val="clear" w:color="auto" w:fill="auto"/>
        </w:rPr>
      </w:pPr>
      <w:bookmarkStart w:id="4" w:name="_Toc24234"/>
      <w:r>
        <w:rPr>
          <w:rFonts w:hint="eastAsia" w:ascii="黑体" w:eastAsia="黑体"/>
          <w:sz w:val="28"/>
          <w:szCs w:val="28"/>
          <w:highlight w:val="none"/>
          <w:shd w:val="clear" w:color="auto" w:fill="auto"/>
        </w:rPr>
        <w:t>四、国有资产占用情况</w:t>
      </w:r>
      <w:bookmarkEnd w:id="4"/>
    </w:p>
    <w:p>
      <w:pPr>
        <w:ind w:firstLine="560" w:firstLineChars="200"/>
        <w:rPr>
          <w:rFonts w:hint="eastAsia" w:ascii="仿宋_GB2312" w:eastAsia="仿宋_GB2312"/>
          <w:sz w:val="28"/>
          <w:szCs w:val="28"/>
          <w:highlight w:val="none"/>
          <w:shd w:val="clear" w:color="auto" w:fill="auto"/>
        </w:rPr>
      </w:pPr>
      <w:r>
        <w:rPr>
          <w:rFonts w:hint="eastAsia" w:ascii="仿宋_GB2312" w:hAnsi="Times New Roman" w:eastAsia="仿宋_GB2312" w:cs="Times New Roman"/>
          <w:sz w:val="28"/>
          <w:szCs w:val="28"/>
          <w:highlight w:val="none"/>
          <w:shd w:val="clear" w:color="auto" w:fill="auto"/>
        </w:rPr>
        <w:t>截止12月31日，</w:t>
      </w:r>
      <w:r>
        <w:rPr>
          <w:rFonts w:hint="eastAsia" w:ascii="仿宋_GB2312" w:eastAsia="仿宋_GB2312"/>
          <w:sz w:val="28"/>
          <w:szCs w:val="28"/>
          <w:lang w:val="en-US" w:eastAsia="zh-CN"/>
        </w:rPr>
        <w:t>北京市西城区妇女联合会妇女儿童发展中心</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0</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keepNext w:val="0"/>
        <w:keepLines w:val="0"/>
        <w:pageBreakBefore w:val="0"/>
        <w:widowControl w:val="0"/>
        <w:kinsoku/>
        <w:wordWrap/>
        <w:overflowPunct/>
        <w:topLinePunct w:val="0"/>
        <w:autoSpaceDE/>
        <w:autoSpaceDN/>
        <w:bidi w:val="0"/>
        <w:adjustRightInd/>
        <w:snapToGrid/>
        <w:spacing w:line="560" w:lineRule="exact"/>
        <w:ind w:firstLine="537" w:firstLineChars="192"/>
        <w:textAlignment w:val="auto"/>
        <w:outlineLvl w:val="1"/>
        <w:rPr>
          <w:rFonts w:ascii="黑体" w:eastAsia="黑体"/>
          <w:sz w:val="28"/>
          <w:szCs w:val="28"/>
          <w:highlight w:val="none"/>
          <w:shd w:val="clear" w:color="auto" w:fill="auto"/>
        </w:rPr>
      </w:pPr>
      <w:bookmarkStart w:id="5" w:name="_Toc13840"/>
      <w:r>
        <w:rPr>
          <w:rFonts w:hint="eastAsia" w:ascii="黑体" w:eastAsia="黑体"/>
          <w:sz w:val="28"/>
          <w:szCs w:val="28"/>
          <w:highlight w:val="none"/>
          <w:shd w:val="clear" w:color="auto" w:fill="auto"/>
        </w:rPr>
        <w:t>五</w:t>
      </w:r>
      <w:r>
        <w:rPr>
          <w:rFonts w:ascii="黑体" w:eastAsia="黑体"/>
          <w:sz w:val="28"/>
          <w:szCs w:val="28"/>
          <w:highlight w:val="none"/>
          <w:shd w:val="clear" w:color="auto" w:fill="auto"/>
        </w:rPr>
        <w:t>、政府购买服务</w:t>
      </w:r>
      <w:r>
        <w:rPr>
          <w:rFonts w:hint="eastAsia" w:ascii="黑体" w:eastAsia="黑体"/>
          <w:sz w:val="28"/>
          <w:szCs w:val="28"/>
          <w:highlight w:val="none"/>
          <w:shd w:val="clear" w:color="auto" w:fill="auto"/>
        </w:rPr>
        <w:t>支出</w:t>
      </w:r>
      <w:r>
        <w:rPr>
          <w:rFonts w:ascii="黑体" w:eastAsia="黑体"/>
          <w:sz w:val="28"/>
          <w:szCs w:val="28"/>
          <w:highlight w:val="none"/>
          <w:shd w:val="clear" w:color="auto" w:fill="auto"/>
        </w:rPr>
        <w:t>说明</w:t>
      </w:r>
      <w:bookmarkEnd w:id="5"/>
    </w:p>
    <w:p>
      <w:pPr>
        <w:keepNext w:val="0"/>
        <w:keepLines w:val="0"/>
        <w:pageBreakBefore w:val="0"/>
        <w:widowControl w:val="0"/>
        <w:kinsoku/>
        <w:wordWrap/>
        <w:overflowPunct/>
        <w:topLinePunct w:val="0"/>
        <w:autoSpaceDE/>
        <w:autoSpaceDN/>
        <w:bidi w:val="0"/>
        <w:adjustRightInd/>
        <w:snapToGrid/>
        <w:spacing w:line="560" w:lineRule="exact"/>
        <w:ind w:firstLine="537" w:firstLineChars="192"/>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eastAsia="zh-CN"/>
        </w:rPr>
        <w:t>2024</w:t>
      </w:r>
      <w:r>
        <w:rPr>
          <w:rFonts w:hint="eastAsia" w:ascii="仿宋_GB2312" w:eastAsia="仿宋_GB2312"/>
          <w:sz w:val="28"/>
          <w:szCs w:val="28"/>
          <w:highlight w:val="none"/>
          <w:shd w:val="clear" w:color="auto" w:fill="auto"/>
        </w:rPr>
        <w:t>年度</w:t>
      </w:r>
      <w:r>
        <w:rPr>
          <w:rFonts w:ascii="仿宋_GB2312" w:eastAsia="仿宋_GB2312"/>
          <w:sz w:val="28"/>
          <w:szCs w:val="28"/>
          <w:highlight w:val="none"/>
          <w:shd w:val="clear" w:color="auto" w:fill="auto"/>
        </w:rPr>
        <w:t>政府购买服务决算</w:t>
      </w:r>
      <w:r>
        <w:rPr>
          <w:rFonts w:hint="eastAsia" w:ascii="仿宋_GB2312" w:eastAsia="仿宋_GB2312"/>
          <w:sz w:val="28"/>
          <w:szCs w:val="28"/>
          <w:highlight w:val="none"/>
          <w:shd w:val="clear" w:color="auto" w:fill="auto"/>
          <w:lang w:val="en-US" w:eastAsia="zh-CN"/>
        </w:rPr>
        <w:t>0</w:t>
      </w:r>
      <w:r>
        <w:rPr>
          <w:rFonts w:hint="eastAsia" w:ascii="仿宋_GB2312" w:eastAsia="仿宋_GB2312"/>
          <w:sz w:val="28"/>
          <w:szCs w:val="28"/>
          <w:highlight w:val="none"/>
          <w:shd w:val="clear" w:color="auto" w:fill="auto"/>
        </w:rPr>
        <w:t>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仿宋_GB2312" w:eastAsia="仿宋_GB2312"/>
          <w:color w:val="000000"/>
          <w:sz w:val="28"/>
          <w:szCs w:val="28"/>
          <w:highlight w:val="none"/>
          <w:shd w:val="clear" w:color="auto" w:fill="auto"/>
        </w:rPr>
      </w:pPr>
      <w:bookmarkStart w:id="6" w:name="_Toc23993"/>
      <w:r>
        <w:rPr>
          <w:rFonts w:hint="eastAsia" w:ascii="黑体" w:eastAsia="黑体"/>
          <w:sz w:val="28"/>
          <w:szCs w:val="28"/>
          <w:highlight w:val="none"/>
          <w:shd w:val="clear" w:color="auto" w:fill="auto"/>
        </w:rPr>
        <w:t>六、</w:t>
      </w:r>
      <w:r>
        <w:rPr>
          <w:rFonts w:ascii="黑体" w:eastAsia="黑体"/>
          <w:sz w:val="28"/>
          <w:szCs w:val="28"/>
          <w:highlight w:val="none"/>
          <w:shd w:val="clear" w:color="auto" w:fill="auto"/>
        </w:rPr>
        <w:t>专业名词解释</w:t>
      </w:r>
      <w:bookmarkEnd w:id="6"/>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1</w:t>
      </w:r>
      <w:r>
        <w:rPr>
          <w:rFonts w:hint="eastAsia" w:ascii="仿宋_GB2312" w:eastAsia="仿宋_GB2312"/>
          <w:sz w:val="28"/>
          <w:szCs w:val="28"/>
          <w:highlight w:val="none"/>
          <w:shd w:val="clear" w:color="auto" w:fill="auto"/>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2</w:t>
      </w:r>
      <w:r>
        <w:rPr>
          <w:rFonts w:hint="eastAsia" w:ascii="仿宋_GB2312" w:eastAsia="仿宋_GB2312"/>
          <w:sz w:val="28"/>
          <w:szCs w:val="28"/>
          <w:highlight w:val="none"/>
          <w:shd w:val="clear" w:color="auto" w:fill="auto"/>
        </w:rPr>
        <w:t>.项目支出：指在基本支出之外为完成特定行政任务或事业发展目标所发生的支出。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3</w:t>
      </w:r>
      <w:r>
        <w:rPr>
          <w:rFonts w:hint="eastAsia" w:ascii="仿宋_GB2312" w:eastAsia="仿宋_GB2312"/>
          <w:sz w:val="28"/>
          <w:szCs w:val="28"/>
          <w:highlight w:val="none"/>
          <w:shd w:val="clear" w:color="auto" w:fill="auto"/>
        </w:rPr>
        <w:t>.“三公”经费：</w:t>
      </w:r>
      <w:r>
        <w:rPr>
          <w:rFonts w:hint="eastAsia" w:ascii="仿宋_GB2312" w:hAnsi="宋体" w:eastAsia="仿宋_GB2312"/>
          <w:sz w:val="28"/>
          <w:szCs w:val="28"/>
          <w:highlight w:val="none"/>
          <w:shd w:val="clear" w:color="auto" w:fill="auto"/>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4</w:t>
      </w:r>
      <w:r>
        <w:rPr>
          <w:rFonts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rPr>
        <w:t>机关运行经费：</w:t>
      </w:r>
      <w:r>
        <w:rPr>
          <w:rFonts w:hint="eastAsia" w:ascii="仿宋_GB2312" w:hAnsi="宋体" w:eastAsia="仿宋_GB2312"/>
          <w:sz w:val="28"/>
          <w:szCs w:val="28"/>
          <w:highlight w:val="none"/>
          <w:shd w:val="clear" w:color="auto" w:fill="auto"/>
        </w:rPr>
        <w:t>指为</w:t>
      </w:r>
      <w:r>
        <w:rPr>
          <w:rFonts w:ascii="仿宋_GB2312" w:hAnsi="宋体" w:eastAsia="仿宋_GB2312"/>
          <w:sz w:val="28"/>
          <w:szCs w:val="28"/>
          <w:highlight w:val="none"/>
          <w:shd w:val="clear" w:color="auto" w:fill="auto"/>
        </w:rPr>
        <w:t>保障</w:t>
      </w:r>
      <w:r>
        <w:rPr>
          <w:rFonts w:hint="eastAsia" w:ascii="仿宋_GB2312" w:hAnsi="宋体" w:eastAsia="仿宋_GB2312"/>
          <w:sz w:val="28"/>
          <w:szCs w:val="28"/>
          <w:highlight w:val="none"/>
          <w:shd w:val="clear" w:color="auto" w:fill="auto"/>
        </w:rPr>
        <w:t>行政单位（含参照公务员法管理事业单位）运行用于</w:t>
      </w:r>
      <w:r>
        <w:rPr>
          <w:rFonts w:ascii="仿宋_GB2312" w:hAnsi="宋体" w:eastAsia="仿宋_GB2312"/>
          <w:sz w:val="28"/>
          <w:szCs w:val="28"/>
          <w:highlight w:val="none"/>
          <w:shd w:val="clear" w:color="auto" w:fill="auto"/>
        </w:rPr>
        <w:t>购买货物和服务的各项资金</w:t>
      </w:r>
      <w:r>
        <w:rPr>
          <w:rFonts w:hint="eastAsia" w:ascii="仿宋_GB2312" w:hAnsi="宋体" w:eastAsia="仿宋_GB2312"/>
          <w:sz w:val="28"/>
          <w:szCs w:val="28"/>
          <w:highlight w:val="none"/>
          <w:shd w:val="clear" w:color="auto" w:fill="auto"/>
        </w:rPr>
        <w:t>，包括办公及印刷费、邮电费、差旅费、会议费、福利费、日常维修费、专用材料及一般设备购置费、办公用房水电费、办公用房取暖费、办公用房物业管理费、公务用车运行维护费以及其他费用。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5</w:t>
      </w:r>
      <w:r>
        <w:rPr>
          <w:rFonts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rPr>
        <w:t>政府采购</w:t>
      </w:r>
      <w:r>
        <w:rPr>
          <w:rFonts w:ascii="仿宋_GB2312" w:eastAsia="仿宋_GB2312"/>
          <w:sz w:val="28"/>
          <w:szCs w:val="28"/>
          <w:highlight w:val="none"/>
          <w:shd w:val="clear" w:color="auto" w:fill="auto"/>
        </w:rPr>
        <w:t>：</w:t>
      </w:r>
      <w:r>
        <w:rPr>
          <w:rFonts w:hint="eastAsia" w:ascii="仿宋_GB2312" w:eastAsia="仿宋_GB2312"/>
          <w:sz w:val="28"/>
          <w:szCs w:val="28"/>
          <w:highlight w:val="none"/>
          <w:shd w:val="clear" w:color="auto" w:fill="auto"/>
        </w:rPr>
        <w:t>指</w:t>
      </w:r>
      <w:r>
        <w:rPr>
          <w:rFonts w:ascii="仿宋_GB2312" w:eastAsia="仿宋_GB2312"/>
          <w:sz w:val="28"/>
          <w:szCs w:val="28"/>
          <w:highlight w:val="none"/>
          <w:shd w:val="clear" w:color="auto" w:fill="auto"/>
        </w:rPr>
        <w:t>各级国家机关、事业单位和团体组织，使用</w:t>
      </w:r>
      <w:r>
        <w:rPr>
          <w:rFonts w:hint="eastAsia" w:ascii="仿宋_GB2312" w:eastAsia="仿宋_GB2312"/>
          <w:sz w:val="28"/>
          <w:szCs w:val="28"/>
          <w:highlight w:val="none"/>
          <w:shd w:val="clear" w:color="auto" w:fill="auto"/>
        </w:rPr>
        <w:t>财政性</w:t>
      </w:r>
      <w:r>
        <w:rPr>
          <w:rFonts w:ascii="仿宋_GB2312" w:eastAsia="仿宋_GB2312"/>
          <w:sz w:val="28"/>
          <w:szCs w:val="28"/>
          <w:highlight w:val="none"/>
          <w:shd w:val="clear" w:color="auto" w:fill="auto"/>
        </w:rPr>
        <w:t>资金采购依法制定的集中目录以内的或者采购限额标准以上的货物、工程和服务的行为</w:t>
      </w:r>
      <w:r>
        <w:rPr>
          <w:rFonts w:hint="eastAsia" w:ascii="仿宋_GB2312" w:eastAsia="仿宋_GB2312"/>
          <w:sz w:val="28"/>
          <w:szCs w:val="28"/>
          <w:highlight w:val="none"/>
          <w:shd w:val="clear" w:color="auto" w:fill="auto"/>
        </w:rPr>
        <w:t>，</w:t>
      </w:r>
      <w:r>
        <w:rPr>
          <w:rFonts w:ascii="仿宋_GB2312" w:eastAsia="仿宋_GB2312"/>
          <w:sz w:val="28"/>
          <w:szCs w:val="28"/>
          <w:highlight w:val="none"/>
          <w:shd w:val="clear" w:color="auto" w:fill="auto"/>
        </w:rPr>
        <w:t>是规范财政支出管理和强化预算约束的有效措施。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highlight w:val="none"/>
          <w:shd w:val="clear" w:color="auto" w:fill="auto"/>
        </w:rPr>
      </w:pPr>
      <w:r>
        <w:rPr>
          <w:rFonts w:hint="eastAsia" w:ascii="仿宋_GB2312" w:eastAsia="仿宋_GB2312"/>
          <w:sz w:val="28"/>
          <w:szCs w:val="28"/>
          <w:highlight w:val="none"/>
          <w:shd w:val="clear" w:color="auto" w:fill="auto"/>
          <w:lang w:val="en-US" w:eastAsia="zh-CN"/>
        </w:rPr>
        <w:t>6</w:t>
      </w:r>
      <w:r>
        <w:rPr>
          <w:rFonts w:ascii="仿宋_GB2312" w:eastAsia="仿宋_GB2312"/>
          <w:sz w:val="28"/>
          <w:szCs w:val="28"/>
          <w:highlight w:val="none"/>
          <w:shd w:val="clear" w:color="auto" w:fill="auto"/>
        </w:rPr>
        <w:t>.政府购买服务：</w:t>
      </w:r>
      <w:r>
        <w:rPr>
          <w:rFonts w:hint="eastAsia" w:ascii="仿宋_GB2312" w:eastAsia="仿宋_GB2312"/>
          <w:sz w:val="28"/>
          <w:szCs w:val="28"/>
          <w:highlight w:val="none"/>
          <w:shd w:val="clear" w:color="auto" w:fill="auto"/>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560" w:firstLineChars="200"/>
        <w:jc w:val="center"/>
        <w:rPr>
          <w:rFonts w:ascii="黑体" w:eastAsia="黑体"/>
          <w:sz w:val="28"/>
          <w:szCs w:val="28"/>
          <w:shd w:val="clear" w:color="FFFFFF" w:fill="D9D9D9"/>
        </w:rPr>
      </w:pPr>
    </w:p>
    <w:p>
      <w:pPr>
        <w:ind w:firstLine="640" w:firstLineChars="200"/>
        <w:jc w:val="center"/>
        <w:rPr>
          <w:rFonts w:hint="eastAsia" w:ascii="黑体" w:hAnsi="Times New Roman" w:eastAsia="黑体" w:cs="Times New Roman"/>
          <w:sz w:val="32"/>
          <w:szCs w:val="32"/>
        </w:rPr>
      </w:pPr>
      <w:r>
        <w:rPr>
          <w:rFonts w:hint="eastAsia" w:ascii="黑体" w:hAnsi="Times New Roman" w:eastAsia="黑体" w:cs="Times New Roman"/>
          <w:sz w:val="32"/>
          <w:szCs w:val="32"/>
        </w:rPr>
        <w:t xml:space="preserve">第四部分  </w:t>
      </w:r>
      <w:r>
        <w:rPr>
          <w:rFonts w:hint="eastAsia" w:ascii="黑体" w:hAnsi="Times New Roman" w:eastAsia="黑体" w:cs="Times New Roman"/>
          <w:sz w:val="32"/>
          <w:szCs w:val="32"/>
          <w:lang w:eastAsia="zh-CN"/>
        </w:rPr>
        <w:t>2024</w:t>
      </w:r>
      <w:r>
        <w:rPr>
          <w:rFonts w:hint="eastAsia" w:ascii="黑体" w:hAnsi="Times New Roman" w:eastAsia="黑体" w:cs="Times New Roman"/>
          <w:sz w:val="32"/>
          <w:szCs w:val="32"/>
        </w:rPr>
        <w:t>年度部门绩效评价情况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highlight w:val="none"/>
          <w:shd w:val="clear" w:color="auto" w:fill="auto"/>
        </w:rPr>
      </w:pPr>
    </w:p>
    <w:p>
      <w:pPr>
        <w:numPr>
          <w:ilvl w:val="0"/>
          <w:numId w:val="0"/>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lang w:eastAsia="zh-CN"/>
        </w:rPr>
        <w:t>（详见附件）</w:t>
      </w:r>
    </w:p>
    <w:p>
      <w:pPr>
        <w:pStyle w:val="2"/>
        <w:ind w:firstLine="560"/>
        <w:rPr>
          <w:sz w:val="28"/>
          <w:szCs w:val="28"/>
          <w:shd w:val="clear" w:color="FFFFFF" w:fill="D9D9D9"/>
        </w:rPr>
      </w:pPr>
    </w:p>
    <w:p>
      <w:pPr>
        <w:rPr>
          <w:shd w:val="clear" w:color="FFFFFF" w:fill="D9D9D9"/>
        </w:rPr>
      </w:pPr>
    </w:p>
    <w:p>
      <w:pPr>
        <w:rPr>
          <w:shd w:val="clear" w:color="FFFFFF" w:fill="D9D9D9"/>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5</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8E735"/>
    <w:multiLevelType w:val="singleLevel"/>
    <w:tmpl w:val="A288E735"/>
    <w:lvl w:ilvl="0" w:tentative="0">
      <w:start w:val="1"/>
      <w:numFmt w:val="chineseCounting"/>
      <w:suff w:val="nothing"/>
      <w:lvlText w:val="%1、"/>
      <w:lvlJc w:val="left"/>
      <w:rPr>
        <w:rFonts w:hint="eastAsia"/>
      </w:rPr>
    </w:lvl>
  </w:abstractNum>
  <w:abstractNum w:abstractNumId="1">
    <w:nsid w:val="3844DB0D"/>
    <w:multiLevelType w:val="singleLevel"/>
    <w:tmpl w:val="3844DB0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TNkNzRkOGQ3ZDg5YTBkMDAwNTJiNjc4NWVlMjc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4C3537C"/>
    <w:rsid w:val="079004AC"/>
    <w:rsid w:val="083A656B"/>
    <w:rsid w:val="08A321B0"/>
    <w:rsid w:val="0BA148CA"/>
    <w:rsid w:val="0C1165C4"/>
    <w:rsid w:val="0C6F199E"/>
    <w:rsid w:val="0C8C0541"/>
    <w:rsid w:val="0DD136FE"/>
    <w:rsid w:val="0F8E2C57"/>
    <w:rsid w:val="1059665E"/>
    <w:rsid w:val="10AC13BA"/>
    <w:rsid w:val="145A6C1B"/>
    <w:rsid w:val="167A2FF9"/>
    <w:rsid w:val="1AEC0734"/>
    <w:rsid w:val="1C046496"/>
    <w:rsid w:val="1DEF20B0"/>
    <w:rsid w:val="20646D8E"/>
    <w:rsid w:val="214243FA"/>
    <w:rsid w:val="21AD613C"/>
    <w:rsid w:val="257A14F5"/>
    <w:rsid w:val="27196C26"/>
    <w:rsid w:val="29EF086F"/>
    <w:rsid w:val="2EFFE297"/>
    <w:rsid w:val="301437CA"/>
    <w:rsid w:val="349D1F0A"/>
    <w:rsid w:val="34DD0473"/>
    <w:rsid w:val="39BD4BE8"/>
    <w:rsid w:val="3C684897"/>
    <w:rsid w:val="40087F6C"/>
    <w:rsid w:val="414375CF"/>
    <w:rsid w:val="433E495C"/>
    <w:rsid w:val="43A849E2"/>
    <w:rsid w:val="489F2FD7"/>
    <w:rsid w:val="48EC13B2"/>
    <w:rsid w:val="4AC27CB3"/>
    <w:rsid w:val="4B1B6F22"/>
    <w:rsid w:val="4BF72BEF"/>
    <w:rsid w:val="4D7B2326"/>
    <w:rsid w:val="4ED20CEE"/>
    <w:rsid w:val="4FA90297"/>
    <w:rsid w:val="4FC41A43"/>
    <w:rsid w:val="51A64AFB"/>
    <w:rsid w:val="51DB3C59"/>
    <w:rsid w:val="531C669A"/>
    <w:rsid w:val="550C0952"/>
    <w:rsid w:val="55762E42"/>
    <w:rsid w:val="57A7B272"/>
    <w:rsid w:val="58470068"/>
    <w:rsid w:val="58747CAC"/>
    <w:rsid w:val="5A1720F9"/>
    <w:rsid w:val="5B9C37C2"/>
    <w:rsid w:val="5BA7C654"/>
    <w:rsid w:val="5CB87899"/>
    <w:rsid w:val="60A54109"/>
    <w:rsid w:val="61D01CDF"/>
    <w:rsid w:val="630516F1"/>
    <w:rsid w:val="63B72FBB"/>
    <w:rsid w:val="64C0607C"/>
    <w:rsid w:val="65756C86"/>
    <w:rsid w:val="674D385B"/>
    <w:rsid w:val="676F09E1"/>
    <w:rsid w:val="6AA57908"/>
    <w:rsid w:val="6E9B06BD"/>
    <w:rsid w:val="71253A88"/>
    <w:rsid w:val="798524E4"/>
    <w:rsid w:val="7A7F1C49"/>
    <w:rsid w:val="7B5B7AE6"/>
    <w:rsid w:val="7B7B6628"/>
    <w:rsid w:val="7BA7071E"/>
    <w:rsid w:val="7BDF6DA8"/>
    <w:rsid w:val="7C7EDC1A"/>
    <w:rsid w:val="7CCED98D"/>
    <w:rsid w:val="7D08410F"/>
    <w:rsid w:val="7D951C90"/>
    <w:rsid w:val="7D9FC3CA"/>
    <w:rsid w:val="7DB96DED"/>
    <w:rsid w:val="7DD3AD81"/>
    <w:rsid w:val="7F7FE70F"/>
    <w:rsid w:val="7FFF7327"/>
    <w:rsid w:val="7FFF772F"/>
    <w:rsid w:val="95F35EF6"/>
    <w:rsid w:val="9BFFD860"/>
    <w:rsid w:val="9FB97E27"/>
    <w:rsid w:val="AC5F73DE"/>
    <w:rsid w:val="AF7F84AE"/>
    <w:rsid w:val="B5DDD2C8"/>
    <w:rsid w:val="B9DFABD9"/>
    <w:rsid w:val="BC0D83FC"/>
    <w:rsid w:val="BE6FA351"/>
    <w:rsid w:val="BF3BDEFB"/>
    <w:rsid w:val="C75F6086"/>
    <w:rsid w:val="C7F7ED2D"/>
    <w:rsid w:val="CFAF854E"/>
    <w:rsid w:val="D8D7928E"/>
    <w:rsid w:val="D8FE3136"/>
    <w:rsid w:val="DBE3D54B"/>
    <w:rsid w:val="DDDE60B7"/>
    <w:rsid w:val="DE9F6A22"/>
    <w:rsid w:val="DF4FCE6A"/>
    <w:rsid w:val="DFB96B54"/>
    <w:rsid w:val="E4FED278"/>
    <w:rsid w:val="EDAA365C"/>
    <w:rsid w:val="EDADFC12"/>
    <w:rsid w:val="EEEBE3F3"/>
    <w:rsid w:val="EF8315FE"/>
    <w:rsid w:val="F2FD229B"/>
    <w:rsid w:val="F7F709E9"/>
    <w:rsid w:val="F7FF3690"/>
    <w:rsid w:val="F97F80E4"/>
    <w:rsid w:val="F9BD3900"/>
    <w:rsid w:val="FBB31BE3"/>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Plain Text"/>
    <w:basedOn w:val="1"/>
    <w:next w:val="1"/>
    <w:unhideWhenUsed/>
    <w:qFormat/>
    <w:uiPriority w:val="99"/>
    <w:rPr>
      <w:rFonts w:ascii="宋体" w:hAnsi="Courier New" w:cs="Courier New"/>
      <w:szCs w:val="21"/>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3819</Words>
  <Characters>6444</Characters>
  <Lines>44</Lines>
  <Paragraphs>12</Paragraphs>
  <TotalTime>0</TotalTime>
  <ScaleCrop>false</ScaleCrop>
  <LinksUpToDate>false</LinksUpToDate>
  <CharactersWithSpaces>6463</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2017-07-12T15:16:00Z</dcterms:created>
  <dc:creator>常程</dc:creator>
  <cp:lastModifiedBy>柳絮</cp:lastModifiedBy>
  <cp:lastPrinted>2020-08-08T11:39:00Z</cp:lastPrinted>
  <dcterms:modified xsi:type="dcterms:W3CDTF">2025-08-29T04:17:57Z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3F86E306A0478AD562E38168D5F17498_43</vt:lpwstr>
  </property>
  <property fmtid="{D5CDD505-2E9C-101B-9397-08002B2CF9AE}" pid="4" name="KSOTemplateDocerSaveRecord">
    <vt:lpwstr>eyJoZGlkIjoiMzc4NWY1MzkzMjk1MGZhYTYzN2RlYzY2ZjI5NzA1ZTciLCJ1c2VySWQiOiIxMDExMTUzMTMyIn0=</vt:lpwstr>
  </property>
</Properties>
</file>